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b/>
          <w:sz w:val="52"/>
          <w:szCs w:val="52"/>
        </w:rPr>
      </w:pPr>
    </w:p>
    <w:p>
      <w:pPr>
        <w:pStyle w:val="3"/>
        <w:jc w:val="center"/>
        <w:rPr>
          <w:rFonts w:hint="eastAsia"/>
          <w:b/>
          <w:sz w:val="52"/>
          <w:szCs w:val="52"/>
        </w:rPr>
      </w:pPr>
    </w:p>
    <w:p>
      <w:pPr>
        <w:pStyle w:val="3"/>
        <w:jc w:val="center"/>
        <w:rPr>
          <w:rFonts w:hint="eastAsia"/>
          <w:b/>
          <w:sz w:val="52"/>
          <w:szCs w:val="52"/>
        </w:rPr>
      </w:pPr>
    </w:p>
    <w:p>
      <w:pPr>
        <w:pStyle w:val="3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val="en-US" w:eastAsia="zh-CN"/>
        </w:rPr>
        <w:t xml:space="preserve"> 综合监控（程控）</w:t>
      </w:r>
    </w:p>
    <w:p>
      <w:pPr>
        <w:pStyle w:val="3"/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sz w:val="52"/>
          <w:szCs w:val="52"/>
        </w:rPr>
        <w:t>需求</w:t>
      </w:r>
      <w:r>
        <w:rPr>
          <w:rFonts w:hint="eastAsia"/>
          <w:b/>
          <w:sz w:val="52"/>
          <w:szCs w:val="52"/>
          <w:lang w:val="en-US" w:eastAsia="zh-CN"/>
        </w:rPr>
        <w:t>说明</w:t>
      </w:r>
      <w:r>
        <w:rPr>
          <w:rFonts w:hint="eastAsia"/>
          <w:b/>
          <w:sz w:val="52"/>
          <w:szCs w:val="52"/>
        </w:rPr>
        <w:t>书</w:t>
      </w:r>
    </w:p>
    <w:p>
      <w:pPr>
        <w:pStyle w:val="3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16"/>
        <w:tblW w:w="7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107"/>
        <w:gridCol w:w="1734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76" w:type="dxa"/>
            <w:vAlign w:val="center"/>
          </w:tcPr>
          <w:p>
            <w:pPr>
              <w:pStyle w:val="7"/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文档版本号：</w:t>
            </w:r>
          </w:p>
        </w:tc>
        <w:tc>
          <w:tcPr>
            <w:tcW w:w="210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V1.0</w:t>
            </w:r>
          </w:p>
        </w:tc>
        <w:tc>
          <w:tcPr>
            <w:tcW w:w="1734" w:type="dxa"/>
            <w:vAlign w:val="center"/>
          </w:tcPr>
          <w:p>
            <w:pPr>
              <w:pStyle w:val="7"/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文档编号：</w:t>
            </w:r>
          </w:p>
        </w:tc>
        <w:tc>
          <w:tcPr>
            <w:tcW w:w="1972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SDK_NC3_CK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6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文档密级：</w:t>
            </w:r>
          </w:p>
        </w:tc>
        <w:tc>
          <w:tcPr>
            <w:tcW w:w="210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内部公开</w:t>
            </w:r>
          </w:p>
        </w:tc>
        <w:tc>
          <w:tcPr>
            <w:tcW w:w="173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归属部门/项目：</w:t>
            </w:r>
          </w:p>
        </w:tc>
        <w:tc>
          <w:tcPr>
            <w:tcW w:w="19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南昌3号线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6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编写人：</w:t>
            </w:r>
          </w:p>
        </w:tc>
        <w:tc>
          <w:tcPr>
            <w:tcW w:w="210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生效日期：</w:t>
            </w:r>
          </w:p>
        </w:tc>
        <w:tc>
          <w:tcPr>
            <w:tcW w:w="19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br w:type="page"/>
      </w:r>
    </w:p>
    <w:p>
      <w:pPr>
        <w:numPr>
          <w:ilvl w:val="0"/>
          <w:numId w:val="0"/>
        </w:num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目   录</w:t>
      </w:r>
    </w:p>
    <w:p>
      <w:pPr>
        <w:numPr>
          <w:ilvl w:val="0"/>
          <w:numId w:val="0"/>
        </w:numPr>
        <w:jc w:val="center"/>
        <w:rPr>
          <w:rFonts w:hint="eastAsia"/>
          <w:b/>
          <w:kern w:val="22"/>
          <w:szCs w:val="21"/>
        </w:rPr>
      </w:pPr>
    </w:p>
    <w:p>
      <w:pPr>
        <w:pStyle w:val="12"/>
        <w:tabs>
          <w:tab w:val="right" w:leader="dot" w:pos="8312"/>
          <w:tab w:val="clear" w:pos="8302"/>
        </w:tabs>
      </w:pPr>
      <w:r>
        <w:rPr>
          <w:rFonts w:ascii="宋体" w:hAnsi="宋体"/>
          <w:b w:val="0"/>
          <w:szCs w:val="21"/>
        </w:rPr>
        <w:fldChar w:fldCharType="begin"/>
      </w:r>
      <w:r>
        <w:rPr>
          <w:rFonts w:ascii="宋体" w:hAnsi="宋体"/>
          <w:b w:val="0"/>
          <w:szCs w:val="21"/>
        </w:rPr>
        <w:instrText xml:space="preserve"> TOC \o "1-3" \h \z </w:instrText>
      </w:r>
      <w:r>
        <w:rPr>
          <w:rFonts w:ascii="宋体" w:hAnsi="宋体"/>
          <w:b w:val="0"/>
          <w:szCs w:val="21"/>
        </w:rPr>
        <w:fldChar w:fldCharType="separate"/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\l _Toc27430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/>
        </w:rPr>
        <w:t>1. 前言</w:t>
      </w:r>
      <w:r>
        <w:tab/>
      </w:r>
      <w:r>
        <w:fldChar w:fldCharType="begin"/>
      </w:r>
      <w:r>
        <w:instrText xml:space="preserve"> PAGEREF _Toc27430 </w:instrText>
      </w:r>
      <w:r>
        <w:fldChar w:fldCharType="separate"/>
      </w:r>
      <w:r>
        <w:t>1</w:t>
      </w:r>
      <w:r>
        <w:fldChar w:fldCharType="end"/>
      </w:r>
      <w:r>
        <w:rPr>
          <w:rFonts w:ascii="宋体" w:hAnsi="宋体"/>
          <w:szCs w:val="21"/>
        </w:rPr>
        <w:fldChar w:fldCharType="end"/>
      </w:r>
    </w:p>
    <w:p>
      <w:pPr>
        <w:pStyle w:val="11"/>
        <w:tabs>
          <w:tab w:val="right" w:leader="dot" w:pos="8312"/>
          <w:tab w:val="clear" w:pos="8302"/>
        </w:tabs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\l _Toc1285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/>
        </w:rPr>
        <w:t>1.1. 目的</w:t>
      </w:r>
      <w:r>
        <w:tab/>
      </w:r>
      <w:r>
        <w:fldChar w:fldCharType="begin"/>
      </w:r>
      <w:r>
        <w:instrText xml:space="preserve"> PAGEREF _Toc1285 </w:instrText>
      </w:r>
      <w:r>
        <w:fldChar w:fldCharType="separate"/>
      </w:r>
      <w:r>
        <w:t>1</w:t>
      </w:r>
      <w:r>
        <w:fldChar w:fldCharType="end"/>
      </w:r>
      <w:r>
        <w:rPr>
          <w:rFonts w:ascii="宋体" w:hAnsi="宋体"/>
          <w:bCs/>
          <w:szCs w:val="21"/>
        </w:rPr>
        <w:fldChar w:fldCharType="end"/>
      </w:r>
    </w:p>
    <w:p>
      <w:pPr>
        <w:pStyle w:val="11"/>
        <w:tabs>
          <w:tab w:val="right" w:leader="dot" w:pos="8312"/>
          <w:tab w:val="clear" w:pos="8302"/>
        </w:tabs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\l _Toc29938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/>
        </w:rPr>
        <w:t>1.2. 预期读者与阅读建议</w:t>
      </w:r>
      <w:r>
        <w:tab/>
      </w:r>
      <w:bookmarkStart w:id="8" w:name="_GoBack"/>
      <w:bookmarkEnd w:id="8"/>
      <w:r>
        <w:fldChar w:fldCharType="begin"/>
      </w:r>
      <w:r>
        <w:instrText xml:space="preserve"> PAGEREF _Toc29938 </w:instrText>
      </w:r>
      <w:r>
        <w:fldChar w:fldCharType="separate"/>
      </w:r>
      <w:r>
        <w:t>1</w:t>
      </w:r>
      <w:r>
        <w:fldChar w:fldCharType="end"/>
      </w:r>
      <w:r>
        <w:rPr>
          <w:rFonts w:ascii="宋体" w:hAnsi="宋体"/>
          <w:bCs/>
          <w:szCs w:val="21"/>
        </w:rPr>
        <w:fldChar w:fldCharType="end"/>
      </w:r>
    </w:p>
    <w:p>
      <w:pPr>
        <w:pStyle w:val="12"/>
        <w:tabs>
          <w:tab w:val="right" w:leader="dot" w:pos="8312"/>
          <w:tab w:val="clear" w:pos="8302"/>
        </w:tabs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\l _Toc30012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/>
        </w:rPr>
        <w:t xml:space="preserve">2. </w:t>
      </w:r>
      <w:r>
        <w:rPr>
          <w:rFonts w:hint="eastAsia"/>
          <w:lang w:val="en-US" w:eastAsia="zh-CN"/>
        </w:rPr>
        <w:t>程控功能描述</w:t>
      </w:r>
      <w:r>
        <w:tab/>
      </w:r>
      <w:r>
        <w:fldChar w:fldCharType="begin"/>
      </w:r>
      <w:r>
        <w:instrText xml:space="preserve"> PAGEREF _Toc30012 </w:instrText>
      </w:r>
      <w:r>
        <w:fldChar w:fldCharType="separate"/>
      </w:r>
      <w:r>
        <w:t>1</w:t>
      </w:r>
      <w:r>
        <w:fldChar w:fldCharType="end"/>
      </w:r>
      <w:r>
        <w:rPr>
          <w:rFonts w:ascii="宋体" w:hAnsi="宋体"/>
          <w:bCs/>
          <w:szCs w:val="21"/>
        </w:rPr>
        <w:fldChar w:fldCharType="end"/>
      </w:r>
    </w:p>
    <w:p>
      <w:pPr>
        <w:pStyle w:val="11"/>
        <w:tabs>
          <w:tab w:val="right" w:leader="dot" w:pos="8312"/>
          <w:tab w:val="clear" w:pos="8302"/>
        </w:tabs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\l _Toc10780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/>
        </w:rPr>
        <w:t xml:space="preserve">2.1. </w:t>
      </w:r>
      <w:r>
        <w:rPr>
          <w:rFonts w:hint="eastAsia"/>
          <w:lang w:val="en-US" w:eastAsia="zh-CN"/>
        </w:rPr>
        <w:t>1500V触网一键停送电控件界面</w:t>
      </w:r>
      <w:r>
        <w:tab/>
      </w:r>
      <w:r>
        <w:fldChar w:fldCharType="begin"/>
      </w:r>
      <w:r>
        <w:instrText xml:space="preserve"> PAGEREF _Toc10780 </w:instrText>
      </w:r>
      <w:r>
        <w:fldChar w:fldCharType="separate"/>
      </w:r>
      <w:r>
        <w:t>1</w:t>
      </w:r>
      <w:r>
        <w:fldChar w:fldCharType="end"/>
      </w:r>
      <w:r>
        <w:rPr>
          <w:rFonts w:ascii="宋体" w:hAnsi="宋体"/>
          <w:bCs/>
          <w:szCs w:val="21"/>
        </w:rPr>
        <w:fldChar w:fldCharType="end"/>
      </w:r>
    </w:p>
    <w:p>
      <w:pPr>
        <w:pStyle w:val="11"/>
        <w:tabs>
          <w:tab w:val="right" w:leader="dot" w:pos="8312"/>
          <w:tab w:val="clear" w:pos="8302"/>
        </w:tabs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\l _Toc14450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/>
        </w:rPr>
        <w:t xml:space="preserve">2.2. </w:t>
      </w:r>
      <w:r>
        <w:rPr>
          <w:rFonts w:hint="eastAsia"/>
          <w:lang w:val="en-US" w:eastAsia="zh-CN"/>
        </w:rPr>
        <w:t>1500V进线一键停送电控件界面</w:t>
      </w:r>
      <w:r>
        <w:tab/>
      </w:r>
      <w:r>
        <w:fldChar w:fldCharType="begin"/>
      </w:r>
      <w:r>
        <w:instrText xml:space="preserve"> PAGEREF _Toc14450 </w:instrText>
      </w:r>
      <w:r>
        <w:fldChar w:fldCharType="separate"/>
      </w:r>
      <w:r>
        <w:t>1</w:t>
      </w:r>
      <w:r>
        <w:fldChar w:fldCharType="end"/>
      </w:r>
      <w:r>
        <w:rPr>
          <w:rFonts w:ascii="宋体" w:hAnsi="宋体"/>
          <w:bCs/>
          <w:szCs w:val="21"/>
        </w:rPr>
        <w:fldChar w:fldCharType="end"/>
      </w:r>
    </w:p>
    <w:p>
      <w:pPr>
        <w:pStyle w:val="11"/>
        <w:tabs>
          <w:tab w:val="right" w:leader="dot" w:pos="8312"/>
          <w:tab w:val="clear" w:pos="8302"/>
        </w:tabs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\l _Toc23548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/>
        </w:rPr>
        <w:t xml:space="preserve">2.3. </w:t>
      </w:r>
      <w:r>
        <w:rPr>
          <w:rFonts w:hint="eastAsia"/>
          <w:lang w:val="en-US" w:eastAsia="zh-CN"/>
        </w:rPr>
        <w:t>1500V能馈一键分合控件界面</w:t>
      </w:r>
      <w:r>
        <w:tab/>
      </w:r>
      <w:r>
        <w:fldChar w:fldCharType="begin"/>
      </w:r>
      <w:r>
        <w:instrText xml:space="preserve"> PAGEREF _Toc23548 </w:instrText>
      </w:r>
      <w:r>
        <w:fldChar w:fldCharType="separate"/>
      </w:r>
      <w:r>
        <w:t>2</w:t>
      </w:r>
      <w:r>
        <w:fldChar w:fldCharType="end"/>
      </w:r>
      <w:r>
        <w:rPr>
          <w:rFonts w:ascii="宋体" w:hAnsi="宋体"/>
          <w:bCs/>
          <w:szCs w:val="21"/>
        </w:rPr>
        <w:fldChar w:fldCharType="end"/>
      </w:r>
    </w:p>
    <w:p>
      <w:pPr>
        <w:rPr>
          <w:rFonts w:ascii="宋体" w:hAnsi="宋体"/>
          <w:bCs/>
          <w:szCs w:val="21"/>
        </w:rPr>
        <w:sectPr>
          <w:headerReference r:id="rId3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宋体" w:hAnsi="宋体"/>
          <w:bCs/>
          <w:szCs w:val="21"/>
        </w:rPr>
        <w:fldChar w:fldCharType="end"/>
      </w:r>
    </w:p>
    <w:p>
      <w:pPr>
        <w:pStyle w:val="19"/>
        <w:rPr>
          <w:rFonts w:hint="eastAsia"/>
        </w:rPr>
      </w:pPr>
      <w:bookmarkStart w:id="0" w:name="_Toc27430"/>
      <w:r>
        <w:rPr>
          <w:rFonts w:hint="eastAsia"/>
        </w:rPr>
        <w:t>前言</w:t>
      </w:r>
      <w:bookmarkEnd w:id="0"/>
    </w:p>
    <w:p>
      <w:pPr>
        <w:pStyle w:val="5"/>
        <w:spacing w:line="360" w:lineRule="auto"/>
        <w:rPr>
          <w:rFonts w:hint="eastAsia"/>
        </w:rPr>
      </w:pPr>
      <w:bookmarkStart w:id="1" w:name="_Toc525525763"/>
      <w:bookmarkStart w:id="2" w:name="_Toc1285"/>
      <w:r>
        <w:rPr>
          <w:rFonts w:hint="eastAsia"/>
        </w:rPr>
        <w:t>目的</w:t>
      </w:r>
      <w:bookmarkEnd w:id="1"/>
      <w:bookmarkEnd w:id="2"/>
    </w:p>
    <w:p>
      <w:pPr>
        <w:spacing w:line="360" w:lineRule="auto"/>
        <w:ind w:firstLine="420" w:firstLineChars="200"/>
        <w:rPr>
          <w:rFonts w:hint="default"/>
          <w:color w:val="auto"/>
          <w:lang w:val="en-US"/>
        </w:rPr>
      </w:pPr>
      <w:r>
        <w:rPr>
          <w:rFonts w:hint="eastAsia"/>
          <w:color w:val="auto"/>
          <w:lang w:eastAsia="zh-CN"/>
        </w:rPr>
        <w:t>为轨道交通</w:t>
      </w:r>
      <w:r>
        <w:rPr>
          <w:rFonts w:hint="eastAsia"/>
          <w:color w:val="auto"/>
          <w:lang w:val="en-US" w:eastAsia="zh-CN"/>
        </w:rPr>
        <w:t>南昌3号线</w:t>
      </w:r>
      <w:r>
        <w:rPr>
          <w:rFonts w:hint="eastAsia"/>
          <w:color w:val="auto"/>
          <w:lang w:eastAsia="zh-CN"/>
        </w:rPr>
        <w:t>综合监控系统提供</w:t>
      </w:r>
      <w:r>
        <w:rPr>
          <w:rFonts w:hint="eastAsia"/>
          <w:color w:val="auto"/>
          <w:lang w:val="en-US" w:eastAsia="zh-CN"/>
        </w:rPr>
        <w:t>程控控件以及</w:t>
      </w:r>
      <w:r>
        <w:rPr>
          <w:rFonts w:hint="eastAsia"/>
          <w:color w:val="auto"/>
          <w:lang w:eastAsia="zh-CN"/>
        </w:rPr>
        <w:t>保障系统实时高效、可靠、安全的运行，程控包含</w:t>
      </w:r>
      <w:r>
        <w:rPr>
          <w:rFonts w:hint="eastAsia"/>
          <w:color w:val="auto"/>
          <w:lang w:val="en-US" w:eastAsia="zh-CN"/>
        </w:rPr>
        <w:t>1500V触网一键停送电、1500V进线一键停送电、1500V能馈开关一键分合闸</w:t>
      </w:r>
      <w:r>
        <w:rPr>
          <w:rFonts w:hint="eastAsia"/>
          <w:color w:val="auto"/>
          <w:lang w:eastAsia="zh-CN"/>
        </w:rPr>
        <w:t>。</w:t>
      </w:r>
    </w:p>
    <w:p>
      <w:pPr>
        <w:pStyle w:val="5"/>
        <w:spacing w:line="360" w:lineRule="auto"/>
        <w:rPr>
          <w:rFonts w:hint="eastAsia"/>
        </w:rPr>
      </w:pPr>
      <w:bookmarkStart w:id="3" w:name="_Toc29938"/>
      <w:r>
        <w:rPr>
          <w:rFonts w:hint="eastAsia"/>
        </w:rPr>
        <w:t>预期读者与阅读建议</w:t>
      </w:r>
      <w:bookmarkEnd w:id="3"/>
    </w:p>
    <w:tbl>
      <w:tblPr>
        <w:tblStyle w:val="16"/>
        <w:tblW w:w="792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shd w:val="clear" w:color="auto" w:fill="E0E0E0"/>
            <w:vAlign w:val="top"/>
          </w:tcPr>
          <w:p>
            <w:pPr>
              <w:pStyle w:val="8"/>
              <w:ind w:firstLine="480"/>
              <w:jc w:val="center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</w:rPr>
              <w:t>预期读者</w:t>
            </w:r>
          </w:p>
        </w:tc>
        <w:tc>
          <w:tcPr>
            <w:tcW w:w="4680" w:type="dxa"/>
            <w:shd w:val="clear" w:color="auto" w:fill="E0E0E0"/>
            <w:vAlign w:val="top"/>
          </w:tcPr>
          <w:p>
            <w:pPr>
              <w:pStyle w:val="8"/>
              <w:ind w:firstLine="480"/>
              <w:jc w:val="center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</w:rPr>
              <w:t>阅读建议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</w:rPr>
              <w:t>参加需求评审的人员</w:t>
            </w:r>
          </w:p>
        </w:tc>
        <w:tc>
          <w:tcPr>
            <w:tcW w:w="4680" w:type="dxa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</w:rPr>
              <w:t>仔细阅读全部内容。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  <w:lang w:val="en-US" w:eastAsia="zh-CN"/>
              </w:rPr>
              <w:t>软件研发</w:t>
            </w:r>
            <w:r>
              <w:rPr>
                <w:rFonts w:hint="eastAsia" w:hAnsi="宋体"/>
              </w:rPr>
              <w:t>人员</w:t>
            </w:r>
          </w:p>
        </w:tc>
        <w:tc>
          <w:tcPr>
            <w:tcW w:w="4680" w:type="dxa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</w:rPr>
              <w:t>仔细阅读全部内容。</w:t>
            </w:r>
          </w:p>
        </w:tc>
      </w:tr>
    </w:tbl>
    <w:p>
      <w:pPr>
        <w:pStyle w:val="19"/>
        <w:numPr>
          <w:ilvl w:val="0"/>
          <w:numId w:val="0"/>
        </w:numPr>
        <w:tabs>
          <w:tab w:val="clear" w:pos="425"/>
        </w:tabs>
        <w:ind w:leftChars="0"/>
        <w:rPr>
          <w:rFonts w:hint="eastAsia"/>
        </w:rPr>
        <w:sectPr>
          <w:footerReference r:id="rId4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19"/>
        <w:rPr>
          <w:rFonts w:hint="eastAsia"/>
        </w:rPr>
      </w:pPr>
      <w:bookmarkStart w:id="4" w:name="_Toc30012"/>
      <w:r>
        <w:rPr>
          <w:rFonts w:hint="eastAsia"/>
          <w:lang w:val="en-US" w:eastAsia="zh-CN"/>
        </w:rPr>
        <w:t>程控功能描述</w:t>
      </w:r>
      <w:bookmarkEnd w:id="4"/>
    </w:p>
    <w:p>
      <w:pPr>
        <w:pStyle w:val="5"/>
        <w:spacing w:line="360" w:lineRule="auto"/>
        <w:rPr>
          <w:rFonts w:hint="eastAsia"/>
        </w:rPr>
      </w:pPr>
      <w:bookmarkStart w:id="5" w:name="_Toc10780"/>
      <w:r>
        <w:rPr>
          <w:rFonts w:hint="eastAsia"/>
          <w:lang w:val="en-US" w:eastAsia="zh-CN"/>
        </w:rPr>
        <w:t>1500V触网一键停送电控件界面</w:t>
      </w:r>
      <w:bookmarkEnd w:id="5"/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2962910"/>
            <wp:effectExtent l="0" t="0" r="6350" b="8890"/>
            <wp:docPr id="1" name="图片 1" descr="aece5c20a22ea876f2d73654ff4b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ce5c20a22ea876f2d73654ff4be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图1 程控控件-1500V触网一键停送电</w:t>
      </w:r>
    </w:p>
    <w:p>
      <w:pPr>
        <w:spacing w:line="360" w:lineRule="auto"/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基于图1，在报文监视区域增加时间列，时间列显示操作下发执行和操作结果反馈的时间。</w:t>
      </w:r>
    </w:p>
    <w:p>
      <w:pPr>
        <w:spacing w:line="360" w:lineRule="auto"/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在操作内容显示框中需要增加显示供电分区编号，供电分区上下行拥有不同的供电分区编号。</w:t>
      </w:r>
    </w:p>
    <w:p>
      <w:pPr>
        <w:spacing w:line="360" w:lineRule="auto"/>
        <w:ind w:firstLine="42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当选择包含银三角北站进行上、下行触网停送电时，本站211、212、213、214、215、216六把开关及相应闸刀均动作。当选择的区域包含银三角北站，并且只选择上行或者下行时，银三角北站可以动作3把开关及相应闸刀。</w:t>
      </w:r>
    </w:p>
    <w:p>
      <w:pPr>
        <w:spacing w:line="360" w:lineRule="auto"/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当选择包含京东大道站进行上、下行触网停送电时，本站211、212、213、214四把开关及相应闸刀均动作。当选择的区域包含京东大道站，并且只选择上行或者下行时，京东大道站可以动作2把开关及相应闸刀。</w:t>
      </w:r>
    </w:p>
    <w:p>
      <w:pPr>
        <w:jc w:val="both"/>
        <w:rPr>
          <w:rFonts w:hint="default"/>
          <w:lang w:val="en-US" w:eastAsia="zh-CN"/>
        </w:rPr>
      </w:pPr>
    </w:p>
    <w:p>
      <w:pPr>
        <w:pStyle w:val="5"/>
        <w:spacing w:line="360" w:lineRule="auto"/>
        <w:rPr>
          <w:rFonts w:hint="eastAsia"/>
        </w:rPr>
      </w:pPr>
      <w:bookmarkStart w:id="6" w:name="_Toc14450"/>
      <w:r>
        <w:rPr>
          <w:rFonts w:hint="eastAsia"/>
          <w:lang w:val="en-US" w:eastAsia="zh-CN"/>
        </w:rPr>
        <w:t>1500V进线一键停送电控件界面</w:t>
      </w:r>
      <w:bookmarkEnd w:id="6"/>
    </w:p>
    <w:p>
      <w:pPr>
        <w:spacing w:line="360" w:lineRule="auto"/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基于图1控件的结构，将控制选择框和操作内容框中的选项进行变更。</w:t>
      </w:r>
    </w:p>
    <w:p>
      <w:pPr>
        <w:spacing w:line="360" w:lineRule="auto"/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控制选择框中保持原有按钮的数量和颜色，将按钮的文字提示进行修改。将“上、下行 送电”修改为“1、2号整流进线 送电”；将“下行 送电”修改为“2号整流进线 送电”；将“上行 送电”修改为“1号整流进线 送电”；将“上、下行 停电”修改为“1、2号整流进线 停电”；将“下行 停电”修改为“2号整流进线 停电”；将“上行 送电”修改为“1号整流进线 停电”。将“全线上、下行 送电”修改为“全线1、2号整流进线 送电”；将“全线上、下行 停电”修改为“全线1、2号整流进线 停电”。</w:t>
      </w:r>
    </w:p>
    <w:p>
      <w:pPr>
        <w:spacing w:line="360" w:lineRule="auto"/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操作内容框中保持原有的文本框和按钮，文本框中“区段”字段的内容显示所选起始车站至终点车站，文本框中“操作内容”字段显示控制选择框中选择的控制内容。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送电及停电操作应当至少支持2组断路器及隔离开关分合闸。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5"/>
        <w:spacing w:line="360" w:lineRule="auto"/>
        <w:rPr>
          <w:rFonts w:hint="eastAsia"/>
        </w:rPr>
      </w:pPr>
      <w:bookmarkStart w:id="7" w:name="_Toc23548"/>
      <w:r>
        <w:rPr>
          <w:rFonts w:hint="eastAsia"/>
          <w:lang w:val="en-US" w:eastAsia="zh-CN"/>
        </w:rPr>
        <w:t>1500V能馈一键分合控件界面</w:t>
      </w:r>
      <w:bookmarkEnd w:id="7"/>
    </w:p>
    <w:p>
      <w:pPr>
        <w:spacing w:line="360" w:lineRule="auto"/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基于图1控件的结构，将控制选择框和操作内容框中的选项进行变更。</w:t>
      </w:r>
    </w:p>
    <w:p>
      <w:pPr>
        <w:spacing w:line="360" w:lineRule="auto"/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控制选择框中勾选框保留两个，按钮保留三个。勾选框保留“上、下行 送电”和“上、下行 停电”。</w:t>
      </w:r>
    </w:p>
    <w:p>
      <w:pPr>
        <w:spacing w:line="360" w:lineRule="auto"/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将“上、下行 送电”修改为“能馈馈线 合闸”；将“上、下行 停电”修改为“能馈馈线 分闸”。将“全线上、下行 送电”修改为“全线能馈馈线 合闸”，将“全线上、下行 停电”修改为“全线能馈馈线 分闸”。</w:t>
      </w:r>
    </w:p>
    <w:p>
      <w:pPr>
        <w:spacing w:line="360" w:lineRule="auto"/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操作内容框中保持原有的文本框和按钮，文本框中“区段”字段的内容显示所选起始车站至终点车站，文本框中“操作内容”字段显示控制选择框中选择的控制内容。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分合闸操作应当至少支持2组断路器及隔离开关分合闸。</w:t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ZapfHumnst B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auto" w:sz="4" w:space="2"/>
      </w:pBdr>
      <w:spacing w:before="120"/>
      <w:ind w:right="-128" w:firstLine="2790" w:firstLineChars="15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left"/>
    </w:pPr>
    <w:r>
      <w:rPr>
        <w:rFonts w:hint="eastAsia"/>
        <w:kern w:val="0"/>
        <w:lang w:val="en-US" w:eastAsia="zh-CN"/>
      </w:rPr>
      <w:t>上海电科智能系统股份有限公司</w:t>
    </w:r>
    <w:r>
      <w:rPr>
        <w:rFonts w:hint="eastAsia"/>
        <w:kern w:val="0"/>
      </w:rPr>
      <w:t xml:space="preserve">                                            </w:t>
    </w:r>
    <w:r>
      <w:rPr>
        <w:rFonts w:hint="eastAsia"/>
        <w:kern w:val="0"/>
        <w:lang w:val="en-US" w:eastAsia="zh-CN"/>
      </w:rPr>
      <w:t>程控</w:t>
    </w:r>
    <w:r>
      <w:rPr>
        <w:rFonts w:hint="eastAsia"/>
        <w:kern w:val="0"/>
      </w:rPr>
      <w:t>需求说明书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6030"/>
    <w:multiLevelType w:val="multilevel"/>
    <w:tmpl w:val="612A6030"/>
    <w:lvl w:ilvl="0" w:tentative="0">
      <w:start w:val="1"/>
      <w:numFmt w:val="decimal"/>
      <w:pStyle w:val="19"/>
      <w:lvlText w:val="%1.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5"/>
      <w:lvlText w:val="%1.%2."/>
      <w:lvlJc w:val="left"/>
      <w:pPr>
        <w:tabs>
          <w:tab w:val="left" w:pos="397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571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B518A"/>
    <w:rsid w:val="10126877"/>
    <w:rsid w:val="10F744E9"/>
    <w:rsid w:val="14756D92"/>
    <w:rsid w:val="25561231"/>
    <w:rsid w:val="2C1A3F87"/>
    <w:rsid w:val="2DC464E8"/>
    <w:rsid w:val="313B0A24"/>
    <w:rsid w:val="34372504"/>
    <w:rsid w:val="40893CFB"/>
    <w:rsid w:val="4BDC521A"/>
    <w:rsid w:val="544F1147"/>
    <w:rsid w:val="547F6BBB"/>
    <w:rsid w:val="5AFC0D21"/>
    <w:rsid w:val="5EA0685E"/>
    <w:rsid w:val="6150589E"/>
    <w:rsid w:val="6ABA7E83"/>
    <w:rsid w:val="76063C2C"/>
    <w:rsid w:val="77AE6F26"/>
    <w:rsid w:val="7BE7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20"/>
      <w:textAlignment w:val="baseline"/>
      <w:outlineLvl w:val="0"/>
    </w:pPr>
    <w:rPr>
      <w:rFonts w:ascii="ZapfHumnst BT" w:hAnsi="ZapfHumnst BT"/>
      <w:b/>
      <w:caps/>
      <w:spacing w:val="-2"/>
      <w:kern w:val="28"/>
      <w:sz w:val="24"/>
      <w:szCs w:val="20"/>
      <w:lang w:val="en-AU"/>
    </w:rPr>
  </w:style>
  <w:style w:type="paragraph" w:styleId="5">
    <w:name w:val="heading 2"/>
    <w:basedOn w:val="4"/>
    <w:next w:val="1"/>
    <w:qFormat/>
    <w:uiPriority w:val="0"/>
    <w:pPr>
      <w:numPr>
        <w:ilvl w:val="1"/>
        <w:numId w:val="1"/>
      </w:numPr>
      <w:spacing w:before="60"/>
      <w:outlineLvl w:val="1"/>
    </w:pPr>
    <w:rPr>
      <w:caps w:val="0"/>
      <w:kern w:val="1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0" w:after="2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7">
    <w:name w:val="Note Heading"/>
    <w:basedOn w:val="1"/>
    <w:next w:val="1"/>
    <w:qFormat/>
    <w:uiPriority w:val="0"/>
    <w:pPr>
      <w:jc w:val="center"/>
    </w:pPr>
  </w:style>
  <w:style w:type="paragraph" w:styleId="8">
    <w:name w:val="Normal Indent"/>
    <w:basedOn w:val="1"/>
    <w:qFormat/>
    <w:uiPriority w:val="0"/>
    <w:pPr>
      <w:ind w:firstLine="420"/>
    </w:pPr>
    <w:rPr>
      <w:szCs w:val="20"/>
    </w:rPr>
  </w:style>
  <w:style w:type="paragraph" w:styleId="9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10">
    <w:name w:val="toc 3"/>
    <w:basedOn w:val="11"/>
    <w:next w:val="1"/>
    <w:semiHidden/>
    <w:qFormat/>
    <w:uiPriority w:val="0"/>
    <w:pPr>
      <w:tabs>
        <w:tab w:val="right" w:leader="dot" w:pos="8302"/>
      </w:tabs>
      <w:ind w:left="420"/>
    </w:pPr>
    <w:rPr>
      <w:i/>
      <w:iCs/>
      <w:smallCaps w:val="0"/>
    </w:rPr>
  </w:style>
  <w:style w:type="paragraph" w:styleId="11">
    <w:name w:val="toc 2"/>
    <w:basedOn w:val="12"/>
    <w:next w:val="1"/>
    <w:qFormat/>
    <w:uiPriority w:val="39"/>
    <w:pPr>
      <w:tabs>
        <w:tab w:val="right" w:leader="dot" w:pos="8302"/>
      </w:tabs>
      <w:spacing w:before="0" w:after="0"/>
      <w:ind w:left="210"/>
    </w:pPr>
    <w:rPr>
      <w:b w:val="0"/>
      <w:bCs w:val="0"/>
      <w:caps w:val="0"/>
      <w:smallCaps/>
    </w:rPr>
  </w:style>
  <w:style w:type="paragraph" w:styleId="12">
    <w:name w:val="toc 1"/>
    <w:basedOn w:val="1"/>
    <w:next w:val="1"/>
    <w:qFormat/>
    <w:uiPriority w:val="39"/>
    <w:pPr>
      <w:tabs>
        <w:tab w:val="right" w:leader="dot" w:pos="8302"/>
      </w:tabs>
      <w:spacing w:before="120" w:after="120"/>
      <w:jc w:val="left"/>
    </w:pPr>
    <w:rPr>
      <w:b/>
      <w:bCs/>
      <w:caps/>
    </w:rPr>
  </w:style>
  <w:style w:type="paragraph" w:styleId="13">
    <w:name w:val="Plain Text"/>
    <w:basedOn w:val="1"/>
    <w:qFormat/>
    <w:uiPriority w:val="0"/>
    <w:pPr>
      <w:spacing w:line="300" w:lineRule="auto"/>
    </w:pPr>
    <w:rPr>
      <w:rFonts w:ascii="宋体" w:hAnsi="Courier New" w:cs="Courier New"/>
      <w:sz w:val="24"/>
      <w:szCs w:val="21"/>
    </w:rPr>
  </w:style>
  <w:style w:type="paragraph" w:styleId="1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8">
    <w:name w:val="版权信息"/>
    <w:basedOn w:val="13"/>
    <w:qFormat/>
    <w:uiPriority w:val="0"/>
    <w:pPr>
      <w:spacing w:line="360" w:lineRule="auto"/>
      <w:jc w:val="center"/>
    </w:pPr>
    <w:rPr>
      <w:rFonts w:ascii="Arial" w:hAnsi="Arial" w:eastAsia="楷体_GB2312" w:cs="宋体"/>
      <w:szCs w:val="20"/>
    </w:rPr>
  </w:style>
  <w:style w:type="paragraph" w:customStyle="1" w:styleId="19">
    <w:name w:val="样式 标题 1 + 四号 段前: 0 磅 段后: 0 磅 行距: 1.5 倍行距"/>
    <w:basedOn w:val="4"/>
    <w:qFormat/>
    <w:uiPriority w:val="0"/>
    <w:pPr>
      <w:numPr>
        <w:ilvl w:val="0"/>
        <w:numId w:val="1"/>
      </w:numPr>
      <w:spacing w:before="0" w:after="0" w:line="360" w:lineRule="auto"/>
    </w:pPr>
    <w:rPr>
      <w:rFonts w:cs="宋体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2020-08-29T08:21:00Z</dcterms:created>
  <dc:creator>Administrator</dc:creator>
  <cp:lastModifiedBy>Administrator</cp:lastModifiedBy>
  <dcterms:modified xsi:type="dcterms:W3CDTF">2020-09-07T13:14:03Z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