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bookmarkStart w:id="0" w:name="_Toc94003360"/>
      <w:bookmarkStart w:id="1" w:name="_Toc182716801"/>
      <w:bookmarkStart w:id="2" w:name="_Toc70248238"/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pStyle w:val="11"/>
        <w:spacing w:before="1400" w:after="240" w:line="360" w:lineRule="auto"/>
        <w:rPr>
          <w:rFonts w:hint="eastAsia" w:asciiTheme="majorEastAsia" w:hAnsiTheme="majorEastAsia" w:eastAsiaTheme="majorEastAsia" w:cstheme="majorEastAsia"/>
          <w:sz w:val="52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20361"/>
      <w:bookmarkStart w:id="4" w:name="_Toc32568"/>
      <w:bookmarkStart w:id="5" w:name="_Toc19643"/>
      <w:bookmarkStart w:id="6" w:name="_Toc28289"/>
      <w:r>
        <w:rPr>
          <w:rFonts w:hint="eastAsia" w:asciiTheme="majorEastAsia" w:hAnsiTheme="majorEastAsia" w:eastAsiaTheme="majorEastAsia" w:cstheme="majorEastAsia"/>
          <w:sz w:val="52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ISCS与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接口协议</w:t>
      </w:r>
      <w:bookmarkEnd w:id="3"/>
      <w:bookmarkEnd w:id="4"/>
      <w:bookmarkEnd w:id="5"/>
      <w:bookmarkEnd w:id="6"/>
    </w:p>
    <w:p>
      <w:pPr>
        <w:pStyle w:val="11"/>
        <w:spacing w:before="1400" w:after="240" w:line="360" w:lineRule="auto"/>
        <w:rPr>
          <w:rFonts w:hint="default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AU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PIS部分）</w:t>
      </w:r>
    </w:p>
    <w:p/>
    <w:p>
      <w:pPr>
        <w:tabs>
          <w:tab w:val="left" w:pos="4941"/>
        </w:tabs>
        <w:spacing w:line="360" w:lineRule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ab/>
      </w: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</w:pPr>
    </w:p>
    <w:p>
      <w:pPr>
        <w:pStyle w:val="19"/>
        <w:spacing w:line="360" w:lineRule="auto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</w:t>
      </w:r>
    </w:p>
    <w:p>
      <w:pPr>
        <w:pStyle w:val="18"/>
        <w:spacing w:line="360" w:lineRule="auto"/>
        <w:rPr>
          <w:lang w:eastAsia="zh-CN"/>
        </w:rPr>
      </w:pPr>
    </w:p>
    <w:p>
      <w:pPr>
        <w:pStyle w:val="18"/>
        <w:spacing w:line="360" w:lineRule="auto"/>
        <w:rPr>
          <w:lang w:eastAsia="zh-CN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794" w:footer="794" w:gutter="0"/>
          <w:cols w:space="720" w:num="1"/>
          <w:docGrid w:type="linesAndChars" w:linePitch="332" w:charSpace="0"/>
        </w:sectPr>
      </w:pPr>
      <w:bookmarkStart w:id="7" w:name="CIBOX"/>
    </w:p>
    <w:p>
      <w:pPr>
        <w:spacing w:line="360" w:lineRule="auto"/>
        <w:jc w:val="center"/>
        <w:rPr>
          <w:b/>
          <w:sz w:val="24"/>
          <w:u w:val="single"/>
        </w:rPr>
      </w:pPr>
      <w:bookmarkStart w:id="40" w:name="_GoBack"/>
      <w:bookmarkEnd w:id="40"/>
      <w:r>
        <w:rPr>
          <w:rFonts w:hint="eastAsia"/>
          <w:b/>
          <w:sz w:val="24"/>
          <w:u w:val="single"/>
        </w:rPr>
        <w:t>历史记录</w:t>
      </w:r>
    </w:p>
    <w:p>
      <w:pPr>
        <w:spacing w:line="360" w:lineRule="auto"/>
      </w:pPr>
    </w:p>
    <w:tbl>
      <w:tblPr>
        <w:tblStyle w:val="12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10"/>
        <w:gridCol w:w="4335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1510" w:type="dxa"/>
          </w:tcPr>
          <w:p>
            <w:pPr>
              <w:spacing w:before="60" w:after="60" w:line="360" w:lineRule="auto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软件</w:t>
            </w:r>
            <w:r>
              <w:rPr>
                <w:b/>
                <w:i/>
              </w:rPr>
              <w:t>/</w:t>
            </w:r>
            <w:r>
              <w:rPr>
                <w:rFonts w:hint="eastAsia"/>
                <w:b/>
                <w:i/>
              </w:rPr>
              <w:t>文件名</w:t>
            </w:r>
            <w:r>
              <w:rPr>
                <w:b/>
                <w:i/>
              </w:rPr>
              <w:t xml:space="preserve">: </w:t>
            </w:r>
          </w:p>
        </w:tc>
        <w:tc>
          <w:tcPr>
            <w:tcW w:w="4335" w:type="dxa"/>
          </w:tcPr>
          <w:p>
            <w:pPr>
              <w:spacing w:before="60" w:after="60" w:line="360" w:lineRule="auto"/>
            </w:pPr>
            <w:r>
              <w:rPr>
                <w:rFonts w:hint="eastAsia"/>
              </w:rPr>
              <w:t xml:space="preserve">TISCS与PIS接口协议 </w:t>
            </w:r>
          </w:p>
        </w:tc>
        <w:tc>
          <w:tcPr>
            <w:tcW w:w="900" w:type="dxa"/>
          </w:tcPr>
          <w:p>
            <w:pPr>
              <w:spacing w:before="60" w:after="60" w:line="360" w:lineRule="auto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机密性</w:t>
            </w:r>
          </w:p>
        </w:tc>
        <w:tc>
          <w:tcPr>
            <w:tcW w:w="2160" w:type="dxa"/>
          </w:tcPr>
          <w:p>
            <w:pPr>
              <w:spacing w:before="60" w:after="60" w:line="360" w:lineRule="auto"/>
            </w:pPr>
          </w:p>
        </w:tc>
      </w:tr>
    </w:tbl>
    <w:p>
      <w:pPr>
        <w:spacing w:line="360" w:lineRule="auto"/>
      </w:pPr>
    </w:p>
    <w:tbl>
      <w:tblPr>
        <w:tblStyle w:val="12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</w:tblPr>
      <w:tblGrid>
        <w:gridCol w:w="637"/>
        <w:gridCol w:w="1239"/>
        <w:gridCol w:w="3129"/>
        <w:gridCol w:w="853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326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版本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日期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修订内容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修订人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hint="eastAsia"/>
                <w:b/>
                <w:i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</w:pPr>
            <w:r>
              <w:t>V</w:t>
            </w:r>
            <w:r>
              <w:rPr>
                <w:rFonts w:hint="eastAsia"/>
              </w:rPr>
              <w:t>1.0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2019-11-1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根据TISCS详细设计独立成篇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韩天豪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TISCS车载工程师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V1.1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2019-11-13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设计协议内容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蔡诚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V1.2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2019-12-9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普通/紧急消息格式改动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蔡诚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V1.3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2019-12-23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根据统型文件要求去掉开始和结束时间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蔡诚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V1.4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2020-7-27</w:t>
            </w: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修改列车选择的大小端结构</w:t>
            </w: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蔡诚</w:t>
            </w: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637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12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001" w:type="dxa"/>
            <w:vAlign w:val="center"/>
          </w:tcPr>
          <w:p>
            <w:pPr>
              <w:spacing w:line="360" w:lineRule="auto"/>
            </w:pPr>
          </w:p>
        </w:tc>
      </w:tr>
      <w:bookmarkEnd w:id="7"/>
    </w:tbl>
    <w:p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目 录</w:t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TOC \o "1-3" \h \z \u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_Toc20361 </w:instrText>
      </w:r>
      <w:r>
        <w:fldChar w:fldCharType="separate"/>
      </w:r>
      <w:r>
        <w:rPr>
          <w:rFonts w:hint="eastAsia" w:asciiTheme="majorEastAsia" w:hAnsiTheme="majorEastAsia" w:eastAsiaTheme="majorEastAsia" w:cstheme="majorEastAsia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ISCS与</w:t>
      </w:r>
      <w:r>
        <w:rPr>
          <w:rFonts w:hint="eastAsia" w:asciiTheme="majorEastAsia" w:hAnsiTheme="majorEastAsia" w:eastAsiaTheme="majorEastAsia" w:cstheme="majorEastAsia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hint="eastAsia" w:asciiTheme="majorEastAsia" w:hAnsiTheme="majorEastAsia" w:eastAsiaTheme="majorEastAsia" w:cstheme="majorEastAsia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>
        <w:rPr>
          <w:rFonts w:hint="eastAsia" w:asciiTheme="majorEastAsia" w:hAnsiTheme="majorEastAsia" w:eastAsiaTheme="majorEastAsia" w:cstheme="majorEastAsia"/>
          <w:szCs w:val="5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</w:t>
      </w:r>
      <w:r>
        <w:rPr>
          <w:rFonts w:hint="eastAsia" w:asciiTheme="majorEastAsia" w:hAnsiTheme="majorEastAsia" w:eastAsiaTheme="majorEastAsia" w:cstheme="majorEastAsia"/>
          <w:szCs w:val="52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接口协议</w:t>
      </w:r>
      <w:r>
        <w:tab/>
      </w:r>
      <w:r>
        <w:fldChar w:fldCharType="begin"/>
      </w:r>
      <w:r>
        <w:instrText xml:space="preserve"> PAGEREF _Toc20361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HYPERLINK \l _Toc30944 </w:instrText>
      </w:r>
      <w:r>
        <w:fldChar w:fldCharType="separate"/>
      </w:r>
      <w:r>
        <w:rPr>
          <w:rFonts w:hint="eastAsia"/>
          <w:lang w:val="en-AU" w:eastAsia="en-US"/>
        </w:rPr>
        <w:t>1. 目的</w:t>
      </w:r>
      <w:r>
        <w:tab/>
      </w:r>
      <w:r>
        <w:fldChar w:fldCharType="begin"/>
      </w:r>
      <w:r>
        <w:instrText xml:space="preserve"> PAGEREF _Toc30944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HYPERLINK \l _Toc22678 </w:instrText>
      </w:r>
      <w:r>
        <w:fldChar w:fldCharType="separate"/>
      </w:r>
      <w:r>
        <w:rPr>
          <w:rFonts w:hint="eastAsia"/>
          <w:lang w:val="en-AU" w:eastAsia="en-US"/>
        </w:rPr>
        <w:t>2. 术语表</w:t>
      </w:r>
      <w:r>
        <w:tab/>
      </w:r>
      <w:r>
        <w:fldChar w:fldCharType="begin"/>
      </w:r>
      <w:r>
        <w:instrText xml:space="preserve"> PAGEREF _Toc22678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HYPERLINK \l _Toc9713 </w:instrText>
      </w:r>
      <w:r>
        <w:fldChar w:fldCharType="separate"/>
      </w:r>
      <w:r>
        <w:rPr>
          <w:rFonts w:hint="eastAsia"/>
          <w:lang w:val="en-AU" w:eastAsia="en-US"/>
        </w:rPr>
        <w:t xml:space="preserve">3. </w:t>
      </w:r>
      <w:r>
        <w:rPr>
          <w:rFonts w:hint="eastAsia"/>
          <w:lang w:val="en-AU"/>
        </w:rPr>
        <w:t>系统结构</w:t>
      </w:r>
      <w:r>
        <w:tab/>
      </w:r>
      <w:r>
        <w:fldChar w:fldCharType="begin"/>
      </w:r>
      <w:r>
        <w:instrText xml:space="preserve"> PAGEREF _Toc9713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_Toc14686 </w:instrText>
      </w:r>
      <w:r>
        <w:fldChar w:fldCharType="separate"/>
      </w:r>
      <w:r>
        <w:rPr>
          <w:rFonts w:hint="eastAsia"/>
          <w:kern w:val="0"/>
          <w:lang w:val="en-AU"/>
        </w:rPr>
        <w:t>3.1. 逻辑结构图</w:t>
      </w:r>
      <w:r>
        <w:tab/>
      </w:r>
      <w:r>
        <w:fldChar w:fldCharType="begin"/>
      </w:r>
      <w:r>
        <w:instrText xml:space="preserve"> PAGEREF _Toc14686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_Toc2510 </w:instrText>
      </w:r>
      <w:r>
        <w:fldChar w:fldCharType="separate"/>
      </w:r>
      <w:r>
        <w:rPr>
          <w:rFonts w:hint="eastAsia"/>
          <w:lang w:val="en-AU" w:eastAsia="en-US"/>
        </w:rPr>
        <w:t xml:space="preserve">3.2. </w:t>
      </w:r>
      <w:r>
        <w:rPr>
          <w:rFonts w:hint="eastAsia"/>
          <w:kern w:val="0"/>
          <w:lang w:val="en-AU"/>
        </w:rPr>
        <w:t>接口冗余方案</w:t>
      </w:r>
      <w:r>
        <w:tab/>
      </w:r>
      <w:r>
        <w:fldChar w:fldCharType="begin"/>
      </w:r>
      <w:r>
        <w:instrText xml:space="preserve"> PAGEREF _Toc2510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_Toc16584 </w:instrText>
      </w:r>
      <w:r>
        <w:fldChar w:fldCharType="separate"/>
      </w:r>
      <w:r>
        <w:rPr>
          <w:rFonts w:hint="eastAsia"/>
          <w:lang w:val="en-AU" w:eastAsia="en-US"/>
        </w:rPr>
        <w:t xml:space="preserve">3.3. </w:t>
      </w:r>
      <w:r>
        <w:rPr>
          <w:rFonts w:hint="eastAsia"/>
          <w:kern w:val="0"/>
          <w:lang w:val="en-US" w:eastAsia="zh-CN"/>
        </w:rPr>
        <w:t>协议</w:t>
      </w:r>
      <w:r>
        <w:tab/>
      </w:r>
      <w:r>
        <w:fldChar w:fldCharType="begin"/>
      </w:r>
      <w:r>
        <w:instrText xml:space="preserve"> PAGEREF _Toc16584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_Toc2475 </w:instrText>
      </w:r>
      <w:r>
        <w:fldChar w:fldCharType="separate"/>
      </w:r>
      <w:r>
        <w:rPr>
          <w:rFonts w:hint="eastAsia"/>
          <w:kern w:val="0"/>
          <w:lang w:val="en-AU"/>
        </w:rPr>
        <w:t>3.4. 功能</w:t>
      </w:r>
      <w:r>
        <w:tab/>
      </w:r>
      <w:r>
        <w:fldChar w:fldCharType="begin"/>
      </w:r>
      <w:r>
        <w:instrText xml:space="preserve"> PAGEREF _Toc2475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_Toc29052 </w:instrText>
      </w:r>
      <w:r>
        <w:fldChar w:fldCharType="separate"/>
      </w:r>
      <w:r>
        <w:rPr>
          <w:rFonts w:hint="eastAsia"/>
          <w:kern w:val="0"/>
          <w:lang w:val="en-AU"/>
        </w:rPr>
        <w:t>3.5. 通讯参数</w:t>
      </w:r>
      <w:r>
        <w:tab/>
      </w:r>
      <w:r>
        <w:fldChar w:fldCharType="begin"/>
      </w:r>
      <w:r>
        <w:instrText xml:space="preserve"> PAGEREF _Toc29052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0"/>
        <w:tabs>
          <w:tab w:val="right" w:leader="dot" w:pos="8849"/>
        </w:tabs>
      </w:pPr>
      <w:r>
        <w:fldChar w:fldCharType="begin"/>
      </w:r>
      <w:r>
        <w:instrText xml:space="preserve"> HYPERLINK \l _Toc3790 </w:instrText>
      </w:r>
      <w:r>
        <w:fldChar w:fldCharType="separate"/>
      </w:r>
      <w:r>
        <w:rPr>
          <w:rFonts w:hint="eastAsia"/>
        </w:rPr>
        <w:t>3.6. ISCS到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>CS</w:t>
      </w:r>
      <w:r>
        <w:rPr>
          <w:rFonts w:hint="eastAsia"/>
        </w:rPr>
        <w:t>报文格式</w:t>
      </w:r>
      <w:r>
        <w:tab/>
      </w:r>
      <w:r>
        <w:fldChar w:fldCharType="begin"/>
      </w:r>
      <w:r>
        <w:instrText xml:space="preserve"> PAGEREF _Toc3790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849"/>
        </w:tabs>
      </w:pPr>
      <w:r>
        <w:fldChar w:fldCharType="begin"/>
      </w:r>
      <w:r>
        <w:instrText xml:space="preserve"> HYPERLINK \l _Toc9212 </w:instrText>
      </w:r>
      <w:r>
        <w:fldChar w:fldCharType="separate"/>
      </w:r>
      <w:r>
        <w:rPr>
          <w:rFonts w:hint="default" w:ascii="Times New Roman" w:hAnsi="Times New Roman"/>
          <w:bCs/>
          <w:szCs w:val="32"/>
          <w:lang w:val="en-US" w:eastAsia="zh-CN"/>
        </w:rPr>
        <w:t xml:space="preserve">1. </w:t>
      </w:r>
      <w:r>
        <w:rPr>
          <w:rFonts w:hint="eastAsia" w:ascii="Times New Roman" w:hAnsi="Times New Roman"/>
          <w:bCs/>
          <w:szCs w:val="32"/>
          <w:lang w:val="en-US" w:eastAsia="zh-CN"/>
        </w:rPr>
        <w:t>报文结构</w:t>
      </w:r>
      <w:r>
        <w:tab/>
      </w:r>
      <w:r>
        <w:fldChar w:fldCharType="begin"/>
      </w:r>
      <w:r>
        <w:instrText xml:space="preserve"> PAGEREF _Toc9212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_Toc6838 </w:instrText>
      </w:r>
      <w:r>
        <w:fldChar w:fldCharType="separate"/>
      </w:r>
      <w:r>
        <w:rPr>
          <w:rFonts w:hint="eastAsia"/>
        </w:rPr>
        <w:t xml:space="preserve">3.6.1. </w:t>
      </w:r>
      <w:r>
        <w:rPr>
          <w:rFonts w:hint="eastAsia"/>
          <w:lang w:val="en-US" w:eastAsia="zh-CN"/>
        </w:rPr>
        <w:t>客户端心跳请求</w:t>
      </w:r>
      <w:r>
        <w:tab/>
      </w:r>
      <w:r>
        <w:fldChar w:fldCharType="begin"/>
      </w:r>
      <w:r>
        <w:instrText xml:space="preserve"> PAGEREF _Toc6838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_Toc23210 </w:instrText>
      </w:r>
      <w:r>
        <w:fldChar w:fldCharType="separate"/>
      </w:r>
      <w:r>
        <w:rPr>
          <w:rFonts w:hint="eastAsia"/>
        </w:rPr>
        <w:t xml:space="preserve">3.6.2. </w:t>
      </w:r>
      <w:r>
        <w:rPr>
          <w:rFonts w:hint="eastAsia"/>
          <w:lang w:val="en-US" w:eastAsia="zh-CN"/>
        </w:rPr>
        <w:t>服务端心跳响应</w:t>
      </w:r>
      <w:r>
        <w:tab/>
      </w:r>
      <w:r>
        <w:fldChar w:fldCharType="begin"/>
      </w:r>
      <w:r>
        <w:instrText xml:space="preserve"> PAGEREF _Toc23210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_Toc6554 </w:instrText>
      </w:r>
      <w:r>
        <w:fldChar w:fldCharType="separate"/>
      </w:r>
      <w:r>
        <w:rPr>
          <w:rFonts w:hint="eastAsia"/>
          <w:lang w:val="en-US" w:eastAsia="zh-CN"/>
        </w:rPr>
        <w:t>3.6.3. 客户端发送紧急（普通）消息</w:t>
      </w:r>
      <w:r>
        <w:tab/>
      </w:r>
      <w:r>
        <w:fldChar w:fldCharType="begin"/>
      </w:r>
      <w:r>
        <w:instrText xml:space="preserve"> PAGEREF _Toc6554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_Toc24275 </w:instrText>
      </w:r>
      <w:r>
        <w:fldChar w:fldCharType="separate"/>
      </w:r>
      <w:r>
        <w:rPr>
          <w:rFonts w:hint="eastAsia"/>
          <w:lang w:val="en-US" w:eastAsia="zh-CN"/>
        </w:rPr>
        <w:t>3.6.4. 客户端发送开屏指令</w:t>
      </w:r>
      <w:r>
        <w:tab/>
      </w:r>
      <w:r>
        <w:fldChar w:fldCharType="begin"/>
      </w:r>
      <w:r>
        <w:instrText xml:space="preserve"> PAGEREF _Toc24275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_Toc19900 </w:instrText>
      </w:r>
      <w:r>
        <w:fldChar w:fldCharType="separate"/>
      </w:r>
      <w:r>
        <w:rPr>
          <w:rFonts w:hint="eastAsia"/>
          <w:lang w:val="en-US" w:eastAsia="zh-CN"/>
        </w:rPr>
        <w:t>3.6.5. 客户端发送关屏指令</w:t>
      </w:r>
      <w:r>
        <w:tab/>
      </w:r>
      <w:r>
        <w:fldChar w:fldCharType="begin"/>
      </w:r>
      <w:r>
        <w:instrText xml:space="preserve"> PAGEREF _Toc19900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6"/>
        <w:tabs>
          <w:tab w:val="right" w:leader="dot" w:pos="8849"/>
        </w:tabs>
      </w:pPr>
      <w:r>
        <w:fldChar w:fldCharType="begin"/>
      </w:r>
      <w:r>
        <w:instrText xml:space="preserve"> HYPERLINK \l _Toc14132 </w:instrText>
      </w:r>
      <w:r>
        <w:fldChar w:fldCharType="separate"/>
      </w:r>
      <w:r>
        <w:rPr>
          <w:rFonts w:hint="eastAsia"/>
          <w:lang w:val="en-US" w:eastAsia="zh-CN"/>
        </w:rPr>
        <w:t>3.6.6. 服务端上传车载设备状态</w:t>
      </w:r>
      <w:r>
        <w:tab/>
      </w:r>
      <w:r>
        <w:fldChar w:fldCharType="begin"/>
      </w:r>
      <w:r>
        <w:instrText xml:space="preserve"> PAGEREF _Toc14132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spacing w:line="360" w:lineRule="auto"/>
        <w:ind w:firstLine="420" w:firstLineChars="200"/>
      </w:pPr>
      <w:r>
        <w:fldChar w:fldCharType="end"/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  <w:sectPr>
          <w:headerReference r:id="rId5" w:type="default"/>
          <w:footerReference r:id="rId6" w:type="default"/>
          <w:pgSz w:w="11906" w:h="16838"/>
          <w:pgMar w:top="1440" w:right="1469" w:bottom="1440" w:left="1588" w:header="624" w:footer="624" w:gutter="0"/>
          <w:pgNumType w:fmt="lowerRoman"/>
          <w:cols w:space="720" w:num="1"/>
          <w:docGrid w:type="linesAndChars" w:linePitch="332" w:charSpace="0"/>
        </w:sectPr>
      </w:pPr>
    </w:p>
    <w:bookmarkEnd w:id="0"/>
    <w:bookmarkEnd w:id="1"/>
    <w:bookmarkEnd w:id="2"/>
    <w:p>
      <w:pPr>
        <w:pStyle w:val="2"/>
        <w:spacing w:line="360" w:lineRule="auto"/>
        <w:rPr>
          <w:lang w:val="en-AU" w:eastAsia="en-US"/>
        </w:rPr>
      </w:pPr>
      <w:bookmarkStart w:id="8" w:name="_Toc195415670"/>
      <w:bookmarkStart w:id="9" w:name="_Toc189020374"/>
      <w:bookmarkStart w:id="10" w:name="_Toc186701597"/>
      <w:bookmarkStart w:id="11" w:name="_Toc30944"/>
      <w:r>
        <w:rPr>
          <w:rFonts w:hint="eastAsia"/>
          <w:lang w:val="en-AU" w:eastAsia="en-US"/>
        </w:rPr>
        <w:t>目的</w:t>
      </w:r>
      <w:bookmarkEnd w:id="8"/>
      <w:bookmarkEnd w:id="9"/>
      <w:bookmarkEnd w:id="10"/>
      <w:bookmarkEnd w:id="11"/>
    </w:p>
    <w:p>
      <w:pPr>
        <w:spacing w:line="360" w:lineRule="auto"/>
        <w:ind w:left="480"/>
      </w:pPr>
      <w:r>
        <w:rPr>
          <w:rFonts w:hint="eastAsia"/>
        </w:rPr>
        <w:t>本文定义了ISCS和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ISCS系统在</w:t>
      </w:r>
      <w:r>
        <w:rPr>
          <w:rFonts w:hint="eastAsia"/>
          <w:lang w:val="en-US" w:eastAsia="zh-CN"/>
        </w:rPr>
        <w:t>地面</w:t>
      </w:r>
      <w:r>
        <w:rPr>
          <w:rFonts w:hint="eastAsia"/>
        </w:rPr>
        <w:t>的基于TCP/IP的通讯协议接口。</w:t>
      </w:r>
    </w:p>
    <w:p>
      <w:pPr>
        <w:pStyle w:val="2"/>
        <w:spacing w:line="360" w:lineRule="auto"/>
        <w:rPr>
          <w:lang w:val="en-AU" w:eastAsia="en-US"/>
        </w:rPr>
      </w:pPr>
      <w:bookmarkStart w:id="12" w:name="documentBegin"/>
      <w:bookmarkEnd w:id="12"/>
      <w:bookmarkStart w:id="13" w:name="_Toc186698358"/>
      <w:bookmarkStart w:id="14" w:name="_Toc186465715"/>
      <w:bookmarkStart w:id="15" w:name="_Toc189020375"/>
      <w:bookmarkStart w:id="16" w:name="_Toc22678"/>
      <w:bookmarkStart w:id="17" w:name="_Toc195415671"/>
      <w:bookmarkStart w:id="18" w:name="_Toc182716802"/>
      <w:bookmarkStart w:id="19" w:name="_Toc186701598"/>
      <w:bookmarkStart w:id="20" w:name="_Toc51951595"/>
      <w:bookmarkStart w:id="21" w:name="_Toc70248241"/>
      <w:bookmarkStart w:id="22" w:name="_Toc94003363"/>
      <w:r>
        <w:rPr>
          <w:rFonts w:hint="eastAsia"/>
          <w:lang w:val="en-AU" w:eastAsia="en-US"/>
        </w:rPr>
        <w:t>术语表</w:t>
      </w:r>
      <w:bookmarkEnd w:id="13"/>
      <w:bookmarkEnd w:id="14"/>
      <w:bookmarkEnd w:id="15"/>
      <w:bookmarkEnd w:id="16"/>
      <w:bookmarkEnd w:id="17"/>
    </w:p>
    <w:bookmarkEnd w:id="18"/>
    <w:bookmarkEnd w:id="19"/>
    <w:bookmarkEnd w:id="20"/>
    <w:bookmarkEnd w:id="21"/>
    <w:bookmarkEnd w:id="22"/>
    <w:tbl>
      <w:tblPr>
        <w:tblStyle w:val="12"/>
        <w:tblW w:w="8364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400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41" w:type="dxa"/>
            <w:shd w:val="clear" w:color="auto" w:fill="DDD9C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MT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ArialMT"/>
                <w:b/>
                <w:color w:val="000000"/>
                <w:kern w:val="0"/>
                <w:sz w:val="24"/>
                <w:szCs w:val="21"/>
              </w:rPr>
              <w:t>缩写</w:t>
            </w:r>
          </w:p>
        </w:tc>
        <w:tc>
          <w:tcPr>
            <w:tcW w:w="4400" w:type="dxa"/>
            <w:shd w:val="clear" w:color="auto" w:fill="DDD9C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MT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ArialMT"/>
                <w:b/>
                <w:color w:val="000000"/>
                <w:kern w:val="0"/>
                <w:sz w:val="24"/>
                <w:szCs w:val="21"/>
              </w:rPr>
              <w:t>英文</w:t>
            </w:r>
          </w:p>
        </w:tc>
        <w:tc>
          <w:tcPr>
            <w:tcW w:w="3223" w:type="dxa"/>
            <w:shd w:val="clear" w:color="auto" w:fill="DDD9C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ATC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Automatic Train Control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列车自动控制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CBN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Communication Backbone Network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通信骨干网络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CCTV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Close Circuit Television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闭路电视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DVR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Digital Video Recorder 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数字视频录像机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FAS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Fire Alarm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防灾报警系统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HMI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Human Machine Interface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图形用户界面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IBP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Integrated Backup Panel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综合后备盘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IP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Internet Protocol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网际协议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IPH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Interphone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紧急对讲设备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ISCS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Integrated Supervision and Control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综合监控系统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LCD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Liquid Crystal Display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液晶显示屏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MFT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Multi Function Terminal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多功能工作站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NVR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Net Video Recorder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网络视频录像机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OCC</w:t>
            </w:r>
          </w:p>
        </w:tc>
        <w:tc>
          <w:tcPr>
            <w:tcW w:w="4400" w:type="dxa"/>
            <w:shd w:val="clear" w:color="auto" w:fill="auto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Operation Control Center 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PIS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Passenger Information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乘客信息系统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PSC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Passenger Service Centre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乘客服务中心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PTZ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Pan,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Tilt, Zoom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云台全方位移动、镜头变倍、变焦控制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SDH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Synchronous Digital Hierarchy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同步数字系列（传输系统）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741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SOCC</w:t>
            </w:r>
          </w:p>
        </w:tc>
        <w:tc>
          <w:tcPr>
            <w:tcW w:w="4400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Sub-Operation Control Center</w:t>
            </w:r>
          </w:p>
        </w:tc>
        <w:tc>
          <w:tcPr>
            <w:tcW w:w="3223" w:type="dxa"/>
            <w:shd w:val="clear" w:color="auto" w:fill="E6EED5"/>
          </w:tcPr>
          <w:p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备用控制中心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TCP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Transmission Control Protocol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传输控制协议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Tetra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Terrestrial Trunked Radio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数字无线集群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TISCS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Trainborne ISCS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车载ISCS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TMS</w:t>
            </w:r>
          </w:p>
        </w:tc>
        <w:tc>
          <w:tcPr>
            <w:tcW w:w="4400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MT"/>
                <w:color w:val="000000"/>
                <w:kern w:val="0"/>
                <w:szCs w:val="21"/>
              </w:rPr>
            </w:pPr>
            <w:r>
              <w:rPr>
                <w:rFonts w:ascii="宋体" w:hAnsi="宋体" w:cs="ArialMT"/>
                <w:color w:val="000000"/>
                <w:kern w:val="0"/>
                <w:szCs w:val="21"/>
              </w:rPr>
              <w:t>Train Management System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列车管理系统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41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WRF</w:t>
            </w:r>
          </w:p>
        </w:tc>
        <w:tc>
          <w:tcPr>
            <w:tcW w:w="440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Wide Range Frequency</w:t>
            </w:r>
          </w:p>
        </w:tc>
        <w:tc>
          <w:tcPr>
            <w:tcW w:w="3223" w:type="dxa"/>
            <w:shd w:val="clear" w:color="auto" w:fill="E6EED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宽频无线电频率</w:t>
            </w:r>
          </w:p>
        </w:tc>
      </w:tr>
    </w:tbl>
    <w:p>
      <w:pPr>
        <w:pStyle w:val="2"/>
        <w:spacing w:line="360" w:lineRule="auto"/>
        <w:rPr>
          <w:lang w:val="en-AU" w:eastAsia="en-US"/>
        </w:rPr>
      </w:pPr>
      <w:bookmarkStart w:id="23" w:name="_Toc9713"/>
      <w:r>
        <w:rPr>
          <w:rFonts w:hint="eastAsia"/>
          <w:lang w:val="en-AU"/>
        </w:rPr>
        <w:t>系统结构</w:t>
      </w:r>
      <w:bookmarkEnd w:id="23"/>
    </w:p>
    <w:p>
      <w:pPr>
        <w:spacing w:line="360" w:lineRule="auto"/>
        <w:ind w:firstLine="435"/>
      </w:pPr>
      <w:r>
        <w:rPr>
          <w:rFonts w:hint="eastAsia"/>
        </w:rPr>
        <w:t>在</w:t>
      </w:r>
      <w:r>
        <w:rPr>
          <w:rFonts w:hint="eastAsia"/>
          <w:lang w:val="en-US" w:eastAsia="zh-CN"/>
        </w:rPr>
        <w:t>控制中心</w:t>
      </w:r>
      <w:r>
        <w:rPr>
          <w:rFonts w:hint="eastAsia"/>
        </w:rPr>
        <w:t>，ISCS</w:t>
      </w:r>
      <w:r>
        <w:rPr>
          <w:rFonts w:hint="eastAsia"/>
          <w:lang w:val="en-US" w:eastAsia="zh-CN"/>
        </w:rPr>
        <w:t>和T</w:t>
      </w:r>
      <w:r>
        <w:rPr>
          <w:rFonts w:hint="eastAsia"/>
        </w:rPr>
        <w:t>ISCS</w:t>
      </w:r>
      <w:r>
        <w:rPr>
          <w:rFonts w:hint="eastAsia"/>
          <w:lang w:val="en-US" w:eastAsia="zh-CN"/>
        </w:rPr>
        <w:t>的服务器连接到各自的交换机，通过交换机连接到同一网段</w:t>
      </w:r>
      <w:r>
        <w:rPr>
          <w:rFonts w:hint="eastAsia"/>
        </w:rPr>
        <w:t>。</w:t>
      </w:r>
    </w:p>
    <w:p>
      <w:pPr>
        <w:pStyle w:val="3"/>
        <w:spacing w:line="360" w:lineRule="auto"/>
        <w:rPr>
          <w:kern w:val="0"/>
          <w:lang w:val="en-AU"/>
        </w:rPr>
      </w:pPr>
      <w:bookmarkStart w:id="24" w:name="_Toc14686"/>
      <w:r>
        <w:rPr>
          <w:rFonts w:hint="eastAsia"/>
          <w:kern w:val="0"/>
          <w:lang w:val="en-AU"/>
        </w:rPr>
        <w:t>逻辑结构图</w:t>
      </w:r>
      <w:bookmarkEnd w:id="24"/>
    </w:p>
    <w:p>
      <w:pPr>
        <w:ind w:right="706" w:rightChars="336" w:firstLine="420"/>
      </w:pPr>
      <w:r>
        <w:rPr>
          <w:rFonts w:hint="eastAsia"/>
        </w:rPr>
        <w:t>综合监控系统</w:t>
      </w:r>
      <w:r>
        <w:t>ISCS</w:t>
      </w:r>
      <w:r>
        <w:rPr>
          <w:rFonts w:hint="eastAsia"/>
        </w:rPr>
        <w:t>与</w:t>
      </w:r>
      <w:r>
        <w:rPr>
          <w:rFonts w:hint="eastAsia"/>
          <w:lang w:val="en-US" w:eastAsia="zh-CN"/>
        </w:rPr>
        <w:t>车载综合监控</w:t>
      </w:r>
      <w:r>
        <w:rPr>
          <w:rFonts w:hint="eastAsia"/>
        </w:rPr>
        <w:t>系统</w:t>
      </w:r>
      <w:r>
        <w:t>(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>CS</w:t>
      </w:r>
      <w:r>
        <w:t>)</w:t>
      </w:r>
      <w:r>
        <w:rPr>
          <w:rFonts w:hint="eastAsia"/>
        </w:rPr>
        <w:t>的在中心的接口界面如下图</w:t>
      </w:r>
      <w:r>
        <w:t>:</w:t>
      </w:r>
    </w:p>
    <w:p>
      <w:pPr>
        <w:ind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5821680" cy="3070860"/>
            <wp:effectExtent l="0" t="0" r="0" b="762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</w:pPr>
      <w:r>
        <w:rPr>
          <w:rFonts w:hint="eastAsia"/>
        </w:rPr>
        <w:t>图</w:t>
      </w:r>
      <w:r>
        <w:t>3</w:t>
      </w:r>
      <w:r>
        <w:noBreakHyphen/>
      </w:r>
      <w:r>
        <w:rPr>
          <w:rFonts w:hint="eastAsia"/>
        </w:rPr>
        <w:t>1  中心接口分界图</w:t>
      </w:r>
    </w:p>
    <w:p>
      <w:pPr>
        <w:spacing w:line="360" w:lineRule="auto"/>
        <w:ind w:firstLine="435"/>
      </w:pPr>
    </w:p>
    <w:p>
      <w:pPr>
        <w:pStyle w:val="3"/>
        <w:spacing w:line="360" w:lineRule="auto"/>
        <w:rPr>
          <w:lang w:val="en-AU" w:eastAsia="en-US"/>
        </w:rPr>
      </w:pPr>
      <w:bookmarkStart w:id="25" w:name="_Toc195415674"/>
      <w:bookmarkStart w:id="26" w:name="_Toc2510"/>
      <w:r>
        <w:rPr>
          <w:rFonts w:hint="eastAsia"/>
          <w:kern w:val="0"/>
          <w:lang w:val="en-AU"/>
        </w:rPr>
        <w:t>接口冗余</w:t>
      </w:r>
      <w:bookmarkEnd w:id="25"/>
      <w:r>
        <w:rPr>
          <w:rFonts w:hint="eastAsia"/>
          <w:kern w:val="0"/>
          <w:lang w:val="en-AU"/>
        </w:rPr>
        <w:t>方案</w:t>
      </w:r>
      <w:bookmarkEnd w:id="26"/>
    </w:p>
    <w:p>
      <w:p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T</w:t>
      </w:r>
      <w:r>
        <w:rPr>
          <w:rFonts w:hint="eastAsia"/>
          <w:lang w:eastAsia="zh-CN"/>
        </w:rPr>
        <w:t>IS</w:t>
      </w:r>
      <w:r>
        <w:rPr>
          <w:rFonts w:hint="eastAsia"/>
          <w:lang w:val="en-US" w:eastAsia="zh-CN"/>
        </w:rPr>
        <w:t>CS</w:t>
      </w:r>
      <w:r>
        <w:rPr>
          <w:rFonts w:hint="eastAsia"/>
          <w:lang w:eastAsia="zh-CN"/>
        </w:rPr>
        <w:t>为服务器端，ISCS为客户端。ISCS两个端口（链路）向PIS服务器端建立通讯连接。</w:t>
      </w:r>
    </w:p>
    <w:p>
      <w:pPr>
        <w:spacing w:line="360" w:lineRule="auto"/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ISCS侧为主/备模式运行，任何时候，均有一个ISCS端口运行在主模式，另一个运行在备模式。主备端口均从PIS系统读取业务数据，但仅主端口（链路）向PIS系统发送业务数据。ISCS仅使用从主端口（链路）读取的业务数据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PIS侧为同时运行模式。两个端口均能接受ISCS发送的读/写指令，并正常响应</w:t>
      </w:r>
    </w:p>
    <w:p>
      <w:pPr>
        <w:pStyle w:val="3"/>
        <w:spacing w:line="360" w:lineRule="auto"/>
        <w:rPr>
          <w:lang w:val="en-AU" w:eastAsia="en-US"/>
        </w:rPr>
      </w:pPr>
      <w:bookmarkStart w:id="27" w:name="_Toc16584"/>
      <w:r>
        <w:rPr>
          <w:rFonts w:hint="eastAsia"/>
          <w:kern w:val="0"/>
          <w:lang w:val="en-US" w:eastAsia="zh-CN"/>
        </w:rPr>
        <w:t>协议</w:t>
      </w:r>
      <w:bookmarkEnd w:id="27"/>
    </w:p>
    <w:p>
      <w:pPr>
        <w:spacing w:line="360" w:lineRule="auto"/>
        <w:ind w:firstLine="420" w:firstLineChars="200"/>
        <w:rPr>
          <w:lang w:eastAsia="zh-CN"/>
        </w:rPr>
      </w:pPr>
      <w:r>
        <w:rPr>
          <w:rFonts w:hint="eastAsia" w:ascii="宋体" w:hAnsi="宋体"/>
          <w:lang w:eastAsia="zh-CN"/>
        </w:rPr>
        <w:t>本</w:t>
      </w:r>
      <w:r>
        <w:rPr>
          <w:rFonts w:hint="eastAsia"/>
          <w:lang w:eastAsia="zh-CN"/>
        </w:rPr>
        <w:t>通信协议采用</w:t>
      </w:r>
      <w:r>
        <w:rPr>
          <w:rFonts w:hint="eastAsia"/>
          <w:lang w:val="en-US" w:eastAsia="zh-CN"/>
        </w:rPr>
        <w:t xml:space="preserve">TCP/IP, </w:t>
      </w:r>
      <w:r>
        <w:rPr>
          <w:rFonts w:hint="eastAsia"/>
          <w:lang w:eastAsia="zh-CN"/>
        </w:rPr>
        <w:t>服务</w:t>
      </w:r>
      <w:r>
        <w:rPr>
          <w:rFonts w:hint="eastAsia"/>
          <w:lang w:val="en-US" w:eastAsia="zh-CN"/>
        </w:rPr>
        <w:t>端</w:t>
      </w:r>
      <w:r>
        <w:rPr>
          <w:rFonts w:hint="eastAsia"/>
          <w:lang w:eastAsia="zh-CN"/>
        </w:rPr>
        <w:t>/客户</w:t>
      </w:r>
      <w:r>
        <w:rPr>
          <w:rFonts w:hint="eastAsia"/>
          <w:lang w:val="en-US" w:eastAsia="zh-CN"/>
        </w:rPr>
        <w:t>端</w:t>
      </w:r>
      <w:r>
        <w:rPr>
          <w:rFonts w:hint="eastAsia"/>
          <w:lang w:eastAsia="zh-CN"/>
        </w:rPr>
        <w:t>通信模式。服务端接受连接请求，提供数据服务；客户端发起数据请求，并接受来自服务端的数据。IS</w:t>
      </w:r>
      <w:r>
        <w:rPr>
          <w:rFonts w:hint="eastAsia"/>
          <w:lang w:val="en-US" w:eastAsia="zh-CN"/>
        </w:rPr>
        <w:t>CS</w:t>
      </w:r>
      <w:r>
        <w:rPr>
          <w:rFonts w:hint="eastAsia"/>
          <w:lang w:eastAsia="zh-CN"/>
        </w:rPr>
        <w:t>作为客户端；</w:t>
      </w:r>
      <w:r>
        <w:rPr>
          <w:rFonts w:hint="eastAsia"/>
          <w:lang w:val="en-US" w:eastAsia="zh-CN"/>
        </w:rPr>
        <w:t>T</w:t>
      </w:r>
      <w:r>
        <w:rPr>
          <w:rFonts w:hint="eastAsia"/>
          <w:lang w:eastAsia="zh-CN"/>
        </w:rPr>
        <w:t>ISCS作为服务端，</w:t>
      </w:r>
      <w:r>
        <w:rPr>
          <w:rFonts w:hint="eastAsia"/>
          <w:lang w:val="en-US" w:eastAsia="zh-CN"/>
        </w:rPr>
        <w:t>服务端端口号5020</w:t>
      </w:r>
      <w:r>
        <w:rPr>
          <w:rFonts w:hint="eastAsia"/>
          <w:lang w:eastAsia="zh-CN"/>
        </w:rPr>
        <w:t>。</w:t>
      </w:r>
    </w:p>
    <w:p>
      <w:pPr>
        <w:rPr>
          <w:lang w:val="en-AU" w:eastAsia="en-US"/>
        </w:rPr>
      </w:pPr>
    </w:p>
    <w:p>
      <w:pPr>
        <w:pStyle w:val="3"/>
        <w:spacing w:line="360" w:lineRule="auto"/>
        <w:rPr>
          <w:kern w:val="0"/>
          <w:lang w:val="en-AU"/>
        </w:rPr>
      </w:pPr>
      <w:bookmarkStart w:id="28" w:name="_Toc2475"/>
      <w:r>
        <w:rPr>
          <w:rFonts w:hint="eastAsia"/>
          <w:kern w:val="0"/>
          <w:lang w:val="en-AU"/>
        </w:rPr>
        <w:t>功能</w:t>
      </w:r>
      <w:bookmarkEnd w:id="28"/>
    </w:p>
    <w:tbl>
      <w:tblPr>
        <w:tblStyle w:val="12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6" w:type="dxa"/>
          <w:bottom w:w="0" w:type="dxa"/>
          <w:right w:w="36" w:type="dxa"/>
        </w:tblCellMar>
      </w:tblPr>
      <w:tblGrid>
        <w:gridCol w:w="2058"/>
        <w:gridCol w:w="3113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tblHeader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60" w:after="60" w:line="36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功能描述</w:t>
            </w:r>
          </w:p>
        </w:tc>
        <w:tc>
          <w:tcPr>
            <w:tcW w:w="3113" w:type="dxa"/>
            <w:vAlign w:val="center"/>
          </w:tcPr>
          <w:p>
            <w:pPr>
              <w:tabs>
                <w:tab w:val="left" w:pos="-1980"/>
              </w:tabs>
              <w:spacing w:before="100" w:after="100" w:line="36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由</w:t>
            </w:r>
            <w:r>
              <w:rPr>
                <w:rFonts w:hint="eastAsia"/>
                <w:b/>
                <w:color w:val="000000"/>
                <w:sz w:val="22"/>
                <w:lang w:val="en-US" w:eastAsia="zh-CN"/>
              </w:rPr>
              <w:t>ISCS</w:t>
            </w:r>
            <w:r>
              <w:rPr>
                <w:b/>
                <w:color w:val="000000"/>
                <w:sz w:val="22"/>
              </w:rPr>
              <w:t>提供</w:t>
            </w:r>
          </w:p>
        </w:tc>
        <w:tc>
          <w:tcPr>
            <w:tcW w:w="3040" w:type="dxa"/>
            <w:vAlign w:val="center"/>
          </w:tcPr>
          <w:p>
            <w:pPr>
              <w:tabs>
                <w:tab w:val="left" w:pos="-1980"/>
              </w:tabs>
              <w:spacing w:before="100" w:after="100" w:line="36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由</w:t>
            </w:r>
            <w:r>
              <w:rPr>
                <w:rFonts w:hint="eastAsia"/>
                <w:b/>
                <w:color w:val="000000"/>
                <w:sz w:val="22"/>
              </w:rPr>
              <w:t>TISCS</w:t>
            </w:r>
            <w:r>
              <w:rPr>
                <w:b/>
                <w:color w:val="000000"/>
                <w:sz w:val="22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100" w:line="36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紧急文本信息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ISCS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下发</w:t>
            </w:r>
            <w:r>
              <w:rPr>
                <w:rFonts w:hint="eastAsia" w:ascii="宋体" w:hAnsi="宋体"/>
                <w:szCs w:val="21"/>
              </w:rPr>
              <w:t>紧急文本信息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至TISCS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TISCS实时将紧急文本信息</w:t>
            </w:r>
            <w:r>
              <w:rPr>
                <w:rFonts w:hint="eastAsia" w:ascii="宋体" w:hAnsi="宋体"/>
                <w:szCs w:val="21"/>
                <w:lang w:eastAsia="zh-CN"/>
              </w:rPr>
              <w:t>转发</w:t>
            </w:r>
            <w:r>
              <w:rPr>
                <w:rFonts w:hint="eastAsia" w:ascii="宋体" w:hAnsi="宋体"/>
                <w:szCs w:val="21"/>
              </w:rPr>
              <w:t>到</w:t>
            </w:r>
            <w:r>
              <w:rPr>
                <w:rFonts w:hint="eastAsia" w:ascii="宋体" w:hAnsi="宋体"/>
                <w:szCs w:val="21"/>
                <w:lang w:eastAsia="zh-CN"/>
              </w:rPr>
              <w:t>车载PIS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100" w:line="360" w:lineRule="auto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远程开关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PIS</w:t>
            </w:r>
            <w:r>
              <w:rPr>
                <w:rFonts w:hint="eastAsia"/>
                <w:color w:val="000000"/>
                <w:sz w:val="22"/>
              </w:rPr>
              <w:t>屏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ISCS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下发开关屏指令至TISCS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TISCS实时将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开关屏指令</w:t>
            </w:r>
            <w:r>
              <w:rPr>
                <w:rFonts w:hint="eastAsia" w:ascii="宋体" w:hAnsi="宋体"/>
                <w:szCs w:val="21"/>
                <w:lang w:eastAsia="zh-CN"/>
              </w:rPr>
              <w:t>转发</w:t>
            </w:r>
            <w:r>
              <w:rPr>
                <w:rFonts w:hint="eastAsia" w:ascii="宋体" w:hAnsi="宋体"/>
                <w:szCs w:val="21"/>
              </w:rPr>
              <w:t>到</w:t>
            </w:r>
            <w:r>
              <w:rPr>
                <w:rFonts w:hint="eastAsia" w:ascii="宋体" w:hAnsi="宋体"/>
                <w:szCs w:val="21"/>
                <w:lang w:eastAsia="zh-CN"/>
              </w:rPr>
              <w:t>车载PIS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100" w:line="360" w:lineRule="auto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提供车载</w:t>
            </w:r>
            <w:r>
              <w:rPr>
                <w:rFonts w:hint="eastAsia" w:ascii="宋体" w:hAnsi="宋体"/>
                <w:szCs w:val="21"/>
              </w:rPr>
              <w:t>PIS</w:t>
            </w:r>
            <w:r>
              <w:rPr>
                <w:rFonts w:hint="eastAsia"/>
                <w:color w:val="000000"/>
                <w:sz w:val="22"/>
              </w:rPr>
              <w:t>直播补包数据传输途径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接收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直播补包数据，</w:t>
            </w:r>
            <w:r>
              <w:rPr>
                <w:rFonts w:hint="eastAsia" w:ascii="宋体" w:hAnsi="宋体"/>
                <w:szCs w:val="21"/>
              </w:rPr>
              <w:t>并进行相应操作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为直播补包数据</w:t>
            </w:r>
            <w:r>
              <w:rPr>
                <w:rFonts w:hint="eastAsia" w:ascii="宋体" w:hAnsi="宋体"/>
                <w:szCs w:val="21"/>
                <w:highlight w:val="none"/>
              </w:rPr>
              <w:t>提供WIFI路由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100" w:line="360" w:lineRule="auto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接收车载</w:t>
            </w:r>
            <w:r>
              <w:rPr>
                <w:rFonts w:hint="eastAsia" w:ascii="宋体" w:hAnsi="宋体"/>
                <w:szCs w:val="21"/>
              </w:rPr>
              <w:t>PIS</w:t>
            </w:r>
            <w:r>
              <w:rPr>
                <w:rFonts w:hint="eastAsia"/>
                <w:color w:val="000000"/>
                <w:sz w:val="22"/>
              </w:rPr>
              <w:t>设备运行状态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接收TISCS上传的车载设备状态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通过以太网采集</w:t>
            </w:r>
            <w:r>
              <w:rPr>
                <w:rFonts w:hint="eastAsia"/>
                <w:color w:val="000000"/>
                <w:sz w:val="22"/>
              </w:rPr>
              <w:t>车载设备运行状态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上传至ISCS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cantSplit/>
          <w:jc w:val="center"/>
        </w:trPr>
        <w:tc>
          <w:tcPr>
            <w:tcW w:w="2058" w:type="dxa"/>
            <w:vAlign w:val="center"/>
          </w:tcPr>
          <w:p>
            <w:pPr>
              <w:tabs>
                <w:tab w:val="left" w:pos="-1980"/>
              </w:tabs>
              <w:spacing w:before="100" w:line="360" w:lineRule="auto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向全线列车或指定列车发送媒体流信息，由车载</w:t>
            </w:r>
            <w:r>
              <w:rPr>
                <w:rFonts w:hint="eastAsia" w:ascii="宋体" w:hAnsi="宋体"/>
                <w:szCs w:val="21"/>
              </w:rPr>
              <w:t>PIS</w:t>
            </w:r>
            <w:r>
              <w:rPr>
                <w:rFonts w:hint="eastAsia"/>
                <w:color w:val="000000"/>
                <w:sz w:val="22"/>
              </w:rPr>
              <w:t>播放</w:t>
            </w:r>
          </w:p>
        </w:tc>
        <w:tc>
          <w:tcPr>
            <w:tcW w:w="311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接收</w:t>
            </w:r>
            <w:r>
              <w:rPr>
                <w:rFonts w:hint="eastAsia"/>
                <w:color w:val="000000"/>
                <w:sz w:val="22"/>
              </w:rPr>
              <w:t>媒体流信息</w:t>
            </w:r>
            <w:r>
              <w:rPr>
                <w:rFonts w:hint="eastAsia"/>
                <w:color w:val="000000"/>
                <w:sz w:val="22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并进行相应操作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接收到地面</w:t>
            </w:r>
            <w:r>
              <w:rPr>
                <w:rFonts w:hint="eastAsia"/>
                <w:color w:val="000000"/>
                <w:sz w:val="22"/>
              </w:rPr>
              <w:t>媒体流信息，转发至</w:t>
            </w:r>
            <w:r>
              <w:rPr>
                <w:rFonts w:hint="eastAsia" w:ascii="宋体" w:hAnsi="宋体"/>
                <w:szCs w:val="21"/>
                <w:lang w:eastAsia="zh-CN"/>
              </w:rPr>
              <w:t>车载PIS</w:t>
            </w:r>
          </w:p>
        </w:tc>
      </w:tr>
    </w:tbl>
    <w:p>
      <w:pPr>
        <w:pStyle w:val="3"/>
        <w:spacing w:line="360" w:lineRule="auto"/>
        <w:rPr>
          <w:kern w:val="0"/>
          <w:lang w:val="en-AU"/>
        </w:rPr>
      </w:pPr>
      <w:bookmarkStart w:id="29" w:name="_Toc29052"/>
      <w:r>
        <w:rPr>
          <w:rFonts w:hint="eastAsia"/>
          <w:kern w:val="0"/>
          <w:lang w:val="en-AU"/>
        </w:rPr>
        <w:t>通讯参数</w:t>
      </w:r>
      <w:bookmarkEnd w:id="29"/>
    </w:p>
    <w:tbl>
      <w:tblPr>
        <w:tblStyle w:val="12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3541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69" w:type="dxa"/>
            <w:shd w:val="clear" w:color="auto" w:fill="B6DDE8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系统</w:t>
            </w:r>
          </w:p>
        </w:tc>
        <w:tc>
          <w:tcPr>
            <w:tcW w:w="354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外网地址</w:t>
            </w:r>
          </w:p>
        </w:tc>
        <w:tc>
          <w:tcPr>
            <w:tcW w:w="353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接受数据的端口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shd w:val="clear" w:color="auto" w:fill="B6DDE8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ISCS</w:t>
            </w:r>
          </w:p>
        </w:tc>
        <w:tc>
          <w:tcPr>
            <w:tcW w:w="354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5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9" w:type="dxa"/>
            <w:shd w:val="clear" w:color="auto" w:fill="B6DDE8"/>
          </w:tcPr>
          <w:p>
            <w:pPr>
              <w:spacing w:line="360" w:lineRule="auto"/>
            </w:pPr>
            <w:r>
              <w:rPr>
                <w:rFonts w:hint="eastAsia"/>
              </w:rPr>
              <w:t>TISCS</w:t>
            </w:r>
          </w:p>
        </w:tc>
        <w:tc>
          <w:tcPr>
            <w:tcW w:w="3541" w:type="dxa"/>
          </w:tcPr>
          <w:p>
            <w:pPr>
              <w:spacing w:line="360" w:lineRule="auto"/>
            </w:pPr>
          </w:p>
        </w:tc>
        <w:tc>
          <w:tcPr>
            <w:tcW w:w="3531" w:type="dxa"/>
          </w:tcPr>
          <w:p>
            <w:pPr>
              <w:spacing w:line="36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服务端端口5020</w:t>
            </w:r>
          </w:p>
        </w:tc>
      </w:tr>
    </w:tbl>
    <w:p>
      <w:pPr>
        <w:spacing w:line="360" w:lineRule="auto"/>
        <w:ind w:firstLine="420"/>
      </w:pPr>
    </w:p>
    <w:p>
      <w:pPr>
        <w:pStyle w:val="3"/>
        <w:spacing w:line="360" w:lineRule="auto"/>
      </w:pPr>
      <w:bookmarkStart w:id="30" w:name="_Toc3790"/>
      <w:r>
        <w:rPr>
          <w:rFonts w:hint="eastAsia"/>
        </w:rPr>
        <w:t>ISCS到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IS</w:t>
      </w:r>
      <w:r>
        <w:rPr>
          <w:rFonts w:hint="eastAsia"/>
          <w:lang w:val="en-US" w:eastAsia="zh-CN"/>
        </w:rPr>
        <w:t>CS</w:t>
      </w:r>
      <w:r>
        <w:rPr>
          <w:rFonts w:hint="eastAsia"/>
        </w:rPr>
        <w:t>报文格式</w:t>
      </w:r>
      <w:bookmarkEnd w:id="30"/>
    </w:p>
    <w:p>
      <w:pPr>
        <w:pStyle w:val="2"/>
        <w:widowControl w:val="0"/>
        <w:numPr>
          <w:ilvl w:val="0"/>
          <w:numId w:val="2"/>
        </w:numPr>
        <w:tabs>
          <w:tab w:val="left" w:pos="315"/>
        </w:tabs>
        <w:spacing w:after="240"/>
        <w:ind w:left="425" w:leftChars="0" w:hanging="425" w:firstLineChars="0"/>
        <w:jc w:val="both"/>
        <w:rPr>
          <w:rFonts w:hint="default" w:ascii="Times New Roman" w:hAnsi="Times New Roman"/>
          <w:b/>
          <w:bCs/>
          <w:sz w:val="32"/>
          <w:szCs w:val="32"/>
          <w:lang w:val="en-US" w:eastAsia="zh-CN"/>
        </w:rPr>
      </w:pPr>
      <w:bookmarkStart w:id="31" w:name="_Toc26305"/>
      <w:bookmarkStart w:id="32" w:name="_Toc9212"/>
      <w:r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  <w:t>报文结构</w:t>
      </w:r>
      <w:bookmarkEnd w:id="31"/>
      <w:bookmarkEnd w:id="32"/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采用TCP/IP协议，字节序为小端序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数据包格式：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会话流水号+消息长度+消息类型+消息内容</w:t>
      </w:r>
    </w:p>
    <w:p>
      <w:pPr>
        <w:numPr>
          <w:ilvl w:val="0"/>
          <w:numId w:val="0"/>
        </w:numPr>
        <w:rPr>
          <w:rFonts w:hint="eastAsia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其中消息内容仅在消息类型为1/2/3/4/5/6/7时有。</w:t>
      </w:r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vertAlign w:val="baseline"/>
          <w:lang w:val="en-US"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569"/>
        <w:gridCol w:w="223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字节地址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0-1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会话流水号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2-3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消息长度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取值0-65535，包含除1,2部分以外的所有字节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4-5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消息类型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类型0-心跳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类型1-紧急消息播放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类型2-紧急消息停止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类型3-普通消息播放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类型4-普通消息停止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类型5-开屏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类型6-关屏</w:t>
            </w:r>
          </w:p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类型7-车载设备状态上传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5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6-n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消息内容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 w:firstLine="4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0" w:leftChars="0"/>
        <w:rPr>
          <w:rFonts w:hint="default" w:eastAsia="宋体"/>
          <w:lang w:val="en-US" w:eastAsia="zh-CN"/>
        </w:rPr>
      </w:pPr>
    </w:p>
    <w:p>
      <w:pPr>
        <w:pStyle w:val="4"/>
        <w:spacing w:line="360" w:lineRule="auto"/>
      </w:pPr>
      <w:bookmarkStart w:id="33" w:name="_Toc257901118"/>
      <w:bookmarkEnd w:id="33"/>
      <w:bookmarkStart w:id="34" w:name="_Toc6838"/>
      <w:r>
        <w:rPr>
          <w:rFonts w:hint="eastAsia"/>
          <w:lang w:val="en-US" w:eastAsia="zh-CN"/>
        </w:rPr>
        <w:t>客户端心跳请求</w:t>
      </w:r>
      <w:bookmarkEnd w:id="34"/>
    </w:p>
    <w:p>
      <w:pPr>
        <w:spacing w:line="360" w:lineRule="auto"/>
        <w:ind w:firstLine="42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示例1：客户端定时1秒发送心跳请求</w:t>
      </w:r>
    </w:p>
    <w:p>
      <w:pPr>
        <w:spacing w:line="360" w:lineRule="auto"/>
        <w:ind w:firstLine="42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01 00 02 00 00 00 </w:t>
      </w:r>
    </w:p>
    <w:p>
      <w:pPr>
        <w:pStyle w:val="4"/>
        <w:spacing w:line="360" w:lineRule="auto"/>
      </w:pPr>
      <w:bookmarkStart w:id="35" w:name="_Toc23210"/>
      <w:r>
        <w:rPr>
          <w:rFonts w:hint="eastAsia"/>
          <w:lang w:val="en-US" w:eastAsia="zh-CN"/>
        </w:rPr>
        <w:t>服务端心跳响应</w:t>
      </w:r>
      <w:bookmarkEnd w:id="35"/>
    </w:p>
    <w:p>
      <w:pPr>
        <w:spacing w:line="360" w:lineRule="auto"/>
        <w:ind w:firstLine="42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示例2：服务端响应心跳请求</w:t>
      </w:r>
    </w:p>
    <w:p>
      <w:pPr>
        <w:spacing w:line="360" w:lineRule="auto"/>
        <w:ind w:firstLine="425"/>
        <w:rPr>
          <w:rFonts w:hint="default"/>
          <w:lang w:val="en-US" w:eastAsia="zh-CN"/>
        </w:rPr>
      </w:pPr>
      <w:bookmarkStart w:id="36" w:name="_Toc6554"/>
      <w:r>
        <w:rPr>
          <w:rFonts w:hint="eastAsia"/>
          <w:lang w:val="en-US" w:eastAsia="zh-CN"/>
        </w:rPr>
        <w:t xml:space="preserve">01 00 02 00 00 00 </w:t>
      </w:r>
    </w:p>
    <w:p>
      <w:pPr>
        <w:pStyle w:val="4"/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客户端发送紧急（普通）消息</w:t>
      </w:r>
      <w:bookmarkEnd w:id="36"/>
    </w:p>
    <w:p>
      <w:pPr>
        <w:pStyle w:val="28"/>
        <w:autoSpaceDE w:val="0"/>
        <w:autoSpaceDN w:val="0"/>
        <w:adjustRightInd w:val="0"/>
        <w:rPr>
          <w:rFonts w:hint="eastAsia" w:ascii="Times New Roman" w:hAnsi="Times New Roman"/>
          <w:szCs w:val="24"/>
          <w:lang w:eastAsia="zh-CN"/>
        </w:rPr>
      </w:pPr>
      <w:r>
        <w:rPr>
          <w:rFonts w:hint="eastAsia" w:ascii="Times New Roman" w:hAnsi="Times New Roman"/>
          <w:szCs w:val="24"/>
          <w:lang w:val="en-US" w:eastAsia="zh-CN"/>
        </w:rPr>
        <w:t>内容</w:t>
      </w:r>
      <w:r>
        <w:rPr>
          <w:rFonts w:hint="eastAsia" w:ascii="Times New Roman" w:hAnsi="Times New Roman"/>
          <w:szCs w:val="24"/>
          <w:lang w:eastAsia="zh-CN"/>
        </w:rPr>
        <w:t>格式组成：</w:t>
      </w:r>
    </w:p>
    <w:p>
      <w:pPr>
        <w:pStyle w:val="28"/>
        <w:autoSpaceDE w:val="0"/>
        <w:autoSpaceDN w:val="0"/>
        <w:adjustRightInd w:val="0"/>
        <w:rPr>
          <w:rFonts w:hint="eastAsia" w:ascii="Times New Roman" w:hAnsi="Times New Roman"/>
          <w:szCs w:val="24"/>
          <w:lang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545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545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字节地址</w:t>
            </w:r>
          </w:p>
        </w:tc>
        <w:tc>
          <w:tcPr>
            <w:tcW w:w="223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</w:t>
            </w:r>
          </w:p>
        </w:tc>
        <w:tc>
          <w:tcPr>
            <w:tcW w:w="223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0-19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列车选择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20-21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消息id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循环次数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  <w:t>时间间隔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取值0-255秒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24-26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十六进制颜色码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27-n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文本内容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采用UTF-8编码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根据消息id来撤销发送的消息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文本字数不做限制，最多可包含65531个字节的文本内容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列车选择总共20个字节160个位，每个位代表一个列车，置1代表选中列车，置0未选中</w:t>
      </w:r>
    </w:p>
    <w:tbl>
      <w:tblPr>
        <w:tblStyle w:val="12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79"/>
        <w:gridCol w:w="540"/>
        <w:gridCol w:w="540"/>
        <w:gridCol w:w="540"/>
        <w:gridCol w:w="540"/>
        <w:gridCol w:w="540"/>
        <w:gridCol w:w="540"/>
        <w:gridCol w:w="675"/>
        <w:gridCol w:w="580"/>
        <w:gridCol w:w="540"/>
        <w:gridCol w:w="540"/>
        <w:gridCol w:w="540"/>
        <w:gridCol w:w="540"/>
        <w:gridCol w:w="715"/>
        <w:gridCol w:w="540"/>
        <w:gridCol w:w="53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6" w:hRule="atLeast"/>
          <w:jc w:val="center"/>
        </w:trPr>
        <w:tc>
          <w:tcPr>
            <w:tcW w:w="1051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60" w:lineRule="auto"/>
              <w:ind w:left="-108" w:firstLine="108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Starting Address</w:t>
            </w:r>
          </w:p>
        </w:tc>
        <w:tc>
          <w:tcPr>
            <w:tcW w:w="4394" w:type="dxa"/>
            <w:gridSpan w:val="8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Low Byte</w:t>
            </w:r>
          </w:p>
        </w:tc>
        <w:tc>
          <w:tcPr>
            <w:tcW w:w="4526" w:type="dxa"/>
            <w:gridSpan w:val="8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hint="eastAsia" w:cs="Arial"/>
                <w:sz w:val="20"/>
                <w:lang w:val="en-US" w:eastAsia="zh-CN"/>
              </w:rPr>
              <w:t>High</w:t>
            </w:r>
            <w:r>
              <w:rPr>
                <w:rFonts w:cs="Arial"/>
                <w:sz w:val="20"/>
              </w:rPr>
              <w:t xml:space="preserve"> Byte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05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79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675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58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15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40" w:type="dxa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40" w:type="dxa"/>
            <w:gridSpan w:val="2"/>
            <w:shd w:val="pct10" w:color="auto" w:fill="auto"/>
            <w:noWrap w:val="0"/>
            <w:vAlign w:val="bottom"/>
          </w:tcPr>
          <w:p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9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hint="eastAsia" w:cs="Arial"/>
                <w:sz w:val="16"/>
                <w:szCs w:val="16"/>
              </w:rPr>
              <w:t>10</w:t>
            </w:r>
          </w:p>
        </w:tc>
        <w:tc>
          <w:tcPr>
            <w:tcW w:w="675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58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 xml:space="preserve">8          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715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540" w:type="dxa"/>
            <w:gridSpan w:val="2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479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675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58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715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540" w:type="dxa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540" w:type="dxa"/>
            <w:gridSpan w:val="2"/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…</w:t>
            </w:r>
          </w:p>
        </w:tc>
        <w:tc>
          <w:tcPr>
            <w:tcW w:w="8929" w:type="dxa"/>
            <w:gridSpan w:val="17"/>
            <w:shd w:val="clear" w:color="auto" w:fill="CC99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cs="Arial"/>
                <w:sz w:val="20"/>
              </w:rPr>
            </w:pPr>
            <w:r>
              <w:rPr>
                <w:rFonts w:cs="Arial"/>
                <w:sz w:val="2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144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143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140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139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138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137</w:t>
            </w:r>
          </w:p>
        </w:tc>
        <w:tc>
          <w:tcPr>
            <w:tcW w:w="58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136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135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134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133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132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130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5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160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159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158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157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156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155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154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153</w:t>
            </w:r>
          </w:p>
        </w:tc>
        <w:tc>
          <w:tcPr>
            <w:tcW w:w="58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152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150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149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148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147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146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  <w:shd w:val="clear" w:color="auto" w:fill="CC99FF"/>
            <w:noWrap w:val="0"/>
            <w:vAlign w:val="bottom"/>
          </w:tcPr>
          <w:p>
            <w:pPr>
              <w:jc w:val="center"/>
              <w:rPr>
                <w:rFonts w:hint="default" w:cs="Arial"/>
                <w:sz w:val="16"/>
                <w:szCs w:val="16"/>
                <w:lang w:val="en-US"/>
              </w:rPr>
            </w:pPr>
            <w:r>
              <w:rPr>
                <w:rFonts w:hint="eastAsia" w:cs="Arial"/>
                <w:sz w:val="16"/>
                <w:szCs w:val="16"/>
                <w:lang w:val="en-US" w:eastAsia="zh-CN"/>
              </w:rPr>
              <w:t>145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示例3：客户端发送紧急消息播放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列车选中1-16车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消息id为99，消息内容：</w:t>
      </w:r>
      <w:r>
        <w:rPr>
          <w:rFonts w:hint="default"/>
          <w:lang w:val="en-US" w:eastAsia="zh-CN"/>
        </w:rPr>
        <w:t>上海地铁欢迎您！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02 00 35 00 01 00 ff ff 00 00 00 00 00 00 00 00 00 00 00 00 00 00 00 00 00 00 63 00 05 0a ff 00 00 e4 b8 8a e6 b5 b7 e5 9c b0 e9 93 81 e6 ac a2 e8 bf 8e e6 82 a8 ef bc 81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示例4：服务端响应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02 00 02 00 01 00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示例5：客户端发送紧急消息停止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列车选中1-16车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消息id为99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03 00 18 00 02 00 ff ff 00 00 00 00 00 00 00 00 00 00 00 00 00 00 00 00 00 00 63 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示例6：服务端响应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03 00 02 00 02 00</w:t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普通消息播放/停止参照以上格式，采用消息类型 03/04</w:t>
      </w:r>
    </w:p>
    <w:p>
      <w:pPr>
        <w:rPr>
          <w:rFonts w:hint="eastAsia"/>
          <w:lang w:val="en-US" w:eastAsia="zh-CN"/>
        </w:rPr>
      </w:pPr>
    </w:p>
    <w:p>
      <w:pPr>
        <w:pStyle w:val="4"/>
        <w:spacing w:line="360" w:lineRule="auto"/>
        <w:rPr>
          <w:rFonts w:hint="default"/>
          <w:lang w:val="en-US" w:eastAsia="zh-CN"/>
        </w:rPr>
      </w:pPr>
      <w:bookmarkStart w:id="37" w:name="_Toc24275"/>
      <w:r>
        <w:rPr>
          <w:rFonts w:hint="eastAsia"/>
          <w:lang w:val="en-US" w:eastAsia="zh-CN"/>
        </w:rPr>
        <w:t>客户端发送开屏指令</w:t>
      </w:r>
      <w:bookmarkEnd w:id="37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示例7：客户端发送开屏指令，选择列车1，3，5，7，9，11，13，15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04 00 16 00 05 00 05 55 00 00 00 00 00 00 00 00 00 00 00 00 00 00 00 00 00 00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示例8：服务端响应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04 00 02 00 05 00</w:t>
      </w:r>
    </w:p>
    <w:p>
      <w:pPr>
        <w:pStyle w:val="4"/>
        <w:spacing w:line="360" w:lineRule="auto"/>
        <w:rPr>
          <w:rFonts w:hint="default"/>
          <w:lang w:val="en-US" w:eastAsia="zh-CN"/>
        </w:rPr>
      </w:pPr>
      <w:bookmarkStart w:id="38" w:name="_Toc19900"/>
      <w:r>
        <w:rPr>
          <w:rFonts w:hint="eastAsia"/>
          <w:lang w:val="en-US" w:eastAsia="zh-CN"/>
        </w:rPr>
        <w:t>客户端发送关屏指令</w:t>
      </w:r>
      <w:bookmarkEnd w:id="38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示例7：客户端发送关屏指令，选择列车2，4，6，8，10，12，14，16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05 00 16 00 06 00 0a aa 00 00 00 00 00 00 00 00 00 00 00 00 00 00 00 00 00 00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示例8：服务端响应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05 00 02 00 06 00</w:t>
      </w:r>
    </w:p>
    <w:p>
      <w:pPr>
        <w:pStyle w:val="4"/>
        <w:spacing w:line="360" w:lineRule="auto"/>
        <w:rPr>
          <w:rFonts w:hint="eastAsia"/>
          <w:lang w:val="en-US" w:eastAsia="zh-CN"/>
        </w:rPr>
      </w:pPr>
      <w:bookmarkStart w:id="39" w:name="_Toc14132"/>
      <w:r>
        <w:rPr>
          <w:rFonts w:hint="eastAsia"/>
          <w:lang w:val="en-US" w:eastAsia="zh-CN"/>
        </w:rPr>
        <w:t>服务端上传车载设备状态</w:t>
      </w:r>
      <w:bookmarkEnd w:id="39"/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545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545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字节地址</w:t>
            </w:r>
          </w:p>
        </w:tc>
        <w:tc>
          <w:tcPr>
            <w:tcW w:w="223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功能</w:t>
            </w:r>
          </w:p>
        </w:tc>
        <w:tc>
          <w:tcPr>
            <w:tcW w:w="2237" w:type="dxa"/>
            <w:shd w:val="clear" w:color="auto" w:fill="E7E6E6" w:themeFill="background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240" w:line="240" w:lineRule="atLeast"/>
              <w:ind w:left="0" w:leftChars="0" w:firstLine="0" w:firstLineChars="0"/>
              <w:rPr>
                <w:rFonts w:hint="eastAsia" w:ascii="Arial" w:hAnsi="Arial"/>
                <w:sz w:val="21"/>
                <w:szCs w:val="21"/>
                <w:vertAlign w:val="baseline"/>
                <w:lang w:val="en-GB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45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0-1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列车数量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取值1-65535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45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2-3</w:t>
            </w:r>
          </w:p>
        </w:tc>
        <w:tc>
          <w:tcPr>
            <w:tcW w:w="223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列车编号</w:t>
            </w:r>
          </w:p>
        </w:tc>
        <w:tc>
          <w:tcPr>
            <w:tcW w:w="223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取值1-65535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545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4-n+3</w:t>
            </w:r>
          </w:p>
        </w:tc>
        <w:tc>
          <w:tcPr>
            <w:tcW w:w="223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车载设备状态数据</w:t>
            </w:r>
          </w:p>
        </w:tc>
        <w:tc>
          <w:tcPr>
            <w:tcW w:w="2237" w:type="dxa"/>
            <w:shd w:val="clear" w:color="auto" w:fill="FEF2CC" w:themeFill="accent4" w:themeFillTint="32"/>
            <w:noWrap w:val="0"/>
            <w:vAlign w:val="top"/>
          </w:tcPr>
          <w:p>
            <w:pPr>
              <w:spacing w:before="240" w:line="240" w:lineRule="atLeas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n个字节的状态数据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列车编号：列车1-n取自然数编号1，2，3，......n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如有m个列车，则列车数量为m，循环2，3部分m次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示例9：服务端上传1车和2车的车载设备状态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06 00</w:t>
      </w:r>
      <w:r>
        <w:rPr>
          <w:rFonts w:hint="eastAsia"/>
          <w:color w:val="FF0000"/>
          <w:lang w:val="en-US" w:eastAsia="zh-CN"/>
        </w:rPr>
        <w:t xml:space="preserve"> xx xx</w:t>
      </w:r>
      <w:r>
        <w:rPr>
          <w:rFonts w:hint="eastAsia"/>
          <w:lang w:val="en-US" w:eastAsia="zh-CN"/>
        </w:rPr>
        <w:t xml:space="preserve"> 07 00 02 00 ......</w:t>
      </w:r>
    </w:p>
    <w:p>
      <w:pPr>
        <w:rPr>
          <w:rFonts w:hint="default"/>
          <w:lang w:val="en-US" w:eastAsia="zh-CN"/>
        </w:rPr>
      </w:pPr>
      <w:r>
        <w:rPr>
          <w:rFonts w:hint="eastAsia"/>
          <w:color w:val="FF0000"/>
          <w:lang w:val="en-US" w:eastAsia="zh-CN"/>
        </w:rPr>
        <w:t>xx xx</w:t>
      </w:r>
      <w:r>
        <w:rPr>
          <w:rFonts w:hint="eastAsia"/>
          <w:lang w:val="en-US" w:eastAsia="zh-CN"/>
        </w:rPr>
        <w:t xml:space="preserve"> 取值应该为 4+2*(n+2)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如上传m个列车的车载设备状态，则</w:t>
      </w:r>
      <w:r>
        <w:rPr>
          <w:rFonts w:hint="eastAsia"/>
          <w:color w:val="FF0000"/>
          <w:lang w:val="en-US" w:eastAsia="zh-CN"/>
        </w:rPr>
        <w:t>xx xx</w:t>
      </w:r>
      <w:r>
        <w:rPr>
          <w:rFonts w:hint="eastAsia"/>
          <w:lang w:val="en-US" w:eastAsia="zh-CN"/>
        </w:rPr>
        <w:t>取值为4+m*(n+2)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示例10：客户端响应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06 00 02 00 07 00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0"/>
        <w:rPr>
          <w:rFonts w:hint="default" w:eastAsia="宋体"/>
          <w:lang w:val="en-US" w:eastAsia="zh-CN"/>
        </w:rPr>
      </w:pPr>
    </w:p>
    <w:p>
      <w:pPr>
        <w:spacing w:line="360" w:lineRule="auto"/>
      </w:pPr>
    </w:p>
    <w:sectPr>
      <w:headerReference r:id="rId7" w:type="default"/>
      <w:pgSz w:w="11907" w:h="16840"/>
      <w:pgMar w:top="1055" w:right="1418" w:bottom="862" w:left="862" w:header="431" w:footer="60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Invensys Andale">
    <w:altName w:val="Franklin Gothic Medium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8946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28" w:type="dxa"/>
        <w:left w:w="108" w:type="dxa"/>
        <w:bottom w:w="28" w:type="dxa"/>
        <w:right w:w="108" w:type="dxa"/>
      </w:tblCellMar>
    </w:tblPr>
    <w:tblGrid>
      <w:gridCol w:w="3045"/>
      <w:gridCol w:w="2919"/>
      <w:gridCol w:w="298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108" w:type="dxa"/>
          <w:bottom w:w="28" w:type="dxa"/>
          <w:right w:w="108" w:type="dxa"/>
        </w:tblCellMar>
      </w:tblPrEx>
      <w:tc>
        <w:tcPr>
          <w:tcW w:w="3045" w:type="dxa"/>
          <w:vAlign w:val="center"/>
        </w:tcPr>
        <w:p>
          <w:pPr>
            <w:rPr>
              <w:rFonts w:hint="eastAsia" w:ascii="Times" w:hAnsi="Times" w:eastAsia="宋体"/>
              <w:lang w:val="en-US" w:eastAsia="zh-CN"/>
            </w:rPr>
          </w:pPr>
          <w:r>
            <w:rPr>
              <w:rFonts w:hint="eastAsia" w:ascii="Times" w:hAnsi="Times"/>
            </w:rPr>
            <w:t>内部版本    ：V1.</w:t>
          </w:r>
          <w:r>
            <w:rPr>
              <w:rFonts w:hint="eastAsia" w:ascii="Times" w:hAnsi="Times"/>
              <w:lang w:val="en-US" w:eastAsia="zh-CN"/>
            </w:rPr>
            <w:t>4</w:t>
          </w:r>
        </w:p>
      </w:tc>
      <w:tc>
        <w:tcPr>
          <w:tcW w:w="2919" w:type="dxa"/>
          <w:vAlign w:val="center"/>
        </w:tcPr>
        <w:p>
          <w:pPr>
            <w:rPr>
              <w:rFonts w:hint="default" w:ascii="Times" w:hAnsi="Times" w:eastAsia="宋体"/>
              <w:lang w:val="en-US" w:eastAsia="zh-CN"/>
            </w:rPr>
          </w:pPr>
          <w:r>
            <w:rPr>
              <w:rFonts w:hint="eastAsia" w:ascii="Times" w:hAnsi="Times"/>
            </w:rPr>
            <w:t>修订日期：</w:t>
          </w:r>
          <w:r>
            <w:rPr>
              <w:rFonts w:ascii="Times" w:hAnsi="Times"/>
            </w:rPr>
            <w:t>20</w:t>
          </w:r>
          <w:r>
            <w:rPr>
              <w:rFonts w:hint="eastAsia" w:ascii="Times" w:hAnsi="Times"/>
              <w:lang w:val="en-US" w:eastAsia="zh-CN"/>
            </w:rPr>
            <w:t>20</w:t>
          </w:r>
          <w:r>
            <w:rPr>
              <w:rFonts w:hint="eastAsia" w:ascii="Times" w:hAnsi="Times"/>
            </w:rPr>
            <w:t>-</w:t>
          </w:r>
          <w:r>
            <w:rPr>
              <w:rFonts w:hint="eastAsia" w:ascii="Times" w:hAnsi="Times"/>
              <w:lang w:val="en-US" w:eastAsia="zh-CN"/>
            </w:rPr>
            <w:t>7</w:t>
          </w:r>
          <w:r>
            <w:rPr>
              <w:rFonts w:hint="eastAsia" w:ascii="Times" w:hAnsi="Times"/>
            </w:rPr>
            <w:t>-</w:t>
          </w:r>
          <w:r>
            <w:rPr>
              <w:rFonts w:hint="eastAsia" w:ascii="Times" w:hAnsi="Times"/>
              <w:lang w:val="en-US" w:eastAsia="zh-CN"/>
            </w:rPr>
            <w:t>27</w:t>
          </w:r>
        </w:p>
      </w:tc>
      <w:tc>
        <w:tcPr>
          <w:tcW w:w="2982" w:type="dxa"/>
          <w:vAlign w:val="center"/>
        </w:tcPr>
        <w:p>
          <w:pPr>
            <w:jc w:val="right"/>
            <w:rPr>
              <w:rFonts w:ascii="Times" w:hAnsi="Times"/>
            </w:rPr>
          </w:pPr>
          <w:r>
            <w:rPr>
              <w:rFonts w:hint="eastAsia" w:ascii="Times" w:hAnsi="Times"/>
            </w:rPr>
            <w:t>总页数：</w:t>
          </w:r>
          <w:r>
            <w:rPr>
              <w:rFonts w:ascii="Times" w:hAnsi="Times"/>
            </w:rPr>
            <w:fldChar w:fldCharType="begin"/>
          </w:r>
          <w:r>
            <w:rPr>
              <w:rFonts w:ascii="Times" w:hAnsi="Times"/>
            </w:rPr>
            <w:instrText xml:space="preserve"> </w:instrText>
          </w:r>
          <w:r>
            <w:rPr>
              <w:rFonts w:hint="eastAsia" w:ascii="Times" w:hAnsi="Times"/>
            </w:rPr>
            <w:instrText xml:space="preserve">NUMPAGES   \* MERGEFORMAT</w:instrText>
          </w:r>
          <w:r>
            <w:rPr>
              <w:rFonts w:ascii="Times" w:hAnsi="Times"/>
            </w:rPr>
            <w:instrText xml:space="preserve"> </w:instrText>
          </w:r>
          <w:r>
            <w:rPr>
              <w:rFonts w:ascii="Times" w:hAnsi="Times"/>
            </w:rPr>
            <w:fldChar w:fldCharType="separate"/>
          </w:r>
          <w:r>
            <w:rPr>
              <w:rFonts w:ascii="Times" w:hAnsi="Times"/>
            </w:rPr>
            <w:t>9</w:t>
          </w:r>
          <w:r>
            <w:rPr>
              <w:rFonts w:ascii="Times" w:hAnsi="Times"/>
            </w:rPr>
            <w:fldChar w:fldCharType="end"/>
          </w:r>
        </w:p>
      </w:tc>
    </w:tr>
  </w:tbl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8961" w:type="dxa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28" w:type="dxa"/>
        <w:left w:w="57" w:type="dxa"/>
        <w:bottom w:w="28" w:type="dxa"/>
        <w:right w:w="57" w:type="dxa"/>
      </w:tblCellMar>
    </w:tblPr>
    <w:tblGrid>
      <w:gridCol w:w="4660"/>
      <w:gridCol w:w="1984"/>
      <w:gridCol w:w="2317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28" w:type="dxa"/>
          <w:left w:w="57" w:type="dxa"/>
          <w:bottom w:w="28" w:type="dxa"/>
          <w:right w:w="57" w:type="dxa"/>
        </w:tblCellMar>
      </w:tblPrEx>
      <w:trPr>
        <w:trHeight w:val="137" w:hRule="atLeast"/>
      </w:trPr>
      <w:tc>
        <w:tcPr>
          <w:tcW w:w="4660" w:type="dxa"/>
          <w:vAlign w:val="center"/>
        </w:tcPr>
        <w:p>
          <w:pPr>
            <w:rPr>
              <w:rFonts w:hint="eastAsia" w:ascii="Times" w:hAnsi="Times" w:eastAsia="宋体"/>
              <w:sz w:val="15"/>
              <w:szCs w:val="15"/>
              <w:lang w:val="en-US" w:eastAsia="zh-CN"/>
            </w:rPr>
          </w:pPr>
          <w:r>
            <w:rPr>
              <w:rFonts w:hint="eastAsia" w:ascii="Times" w:hAnsi="Times"/>
              <w:sz w:val="15"/>
              <w:szCs w:val="15"/>
            </w:rPr>
            <w:t>内部版本: V1.</w:t>
          </w:r>
          <w:r>
            <w:rPr>
              <w:rFonts w:hint="eastAsia" w:ascii="Times" w:hAnsi="Times"/>
              <w:sz w:val="15"/>
              <w:szCs w:val="15"/>
              <w:lang w:val="en-US" w:eastAsia="zh-CN"/>
            </w:rPr>
            <w:t>2</w:t>
          </w:r>
        </w:p>
      </w:tc>
      <w:tc>
        <w:tcPr>
          <w:tcW w:w="1984" w:type="dxa"/>
          <w:vAlign w:val="center"/>
        </w:tcPr>
        <w:p>
          <w:pPr>
            <w:rPr>
              <w:rFonts w:hint="eastAsia" w:ascii="Times" w:hAnsi="Times" w:eastAsia="宋体"/>
              <w:sz w:val="15"/>
              <w:szCs w:val="15"/>
              <w:lang w:val="en-US" w:eastAsia="zh-CN"/>
            </w:rPr>
          </w:pPr>
          <w:r>
            <w:rPr>
              <w:rFonts w:hint="eastAsia" w:ascii="Times" w:hAnsi="Times"/>
              <w:sz w:val="15"/>
              <w:szCs w:val="15"/>
            </w:rPr>
            <w:t>修订日期:</w:t>
          </w:r>
          <w:r>
            <w:rPr>
              <w:rFonts w:ascii="Times" w:hAnsi="Times"/>
              <w:sz w:val="15"/>
              <w:szCs w:val="15"/>
            </w:rPr>
            <w:t>20</w:t>
          </w:r>
          <w:r>
            <w:rPr>
              <w:rFonts w:hint="eastAsia" w:ascii="Times" w:hAnsi="Times"/>
              <w:sz w:val="15"/>
              <w:szCs w:val="15"/>
            </w:rPr>
            <w:t>19-1</w:t>
          </w:r>
          <w:r>
            <w:rPr>
              <w:rFonts w:hint="eastAsia" w:ascii="Times" w:hAnsi="Times"/>
              <w:sz w:val="15"/>
              <w:szCs w:val="15"/>
              <w:lang w:val="en-US" w:eastAsia="zh-CN"/>
            </w:rPr>
            <w:t>2</w:t>
          </w:r>
          <w:r>
            <w:rPr>
              <w:rFonts w:hint="eastAsia" w:ascii="Times" w:hAnsi="Times"/>
              <w:sz w:val="15"/>
              <w:szCs w:val="15"/>
            </w:rPr>
            <w:t>-</w:t>
          </w:r>
          <w:r>
            <w:rPr>
              <w:rFonts w:hint="eastAsia" w:ascii="Times" w:hAnsi="Times"/>
              <w:sz w:val="15"/>
              <w:szCs w:val="15"/>
              <w:lang w:val="en-US" w:eastAsia="zh-CN"/>
            </w:rPr>
            <w:t>9</w:t>
          </w:r>
        </w:p>
      </w:tc>
      <w:tc>
        <w:tcPr>
          <w:tcW w:w="2317" w:type="dxa"/>
          <w:vAlign w:val="center"/>
        </w:tcPr>
        <w:p>
          <w:pPr>
            <w:pStyle w:val="7"/>
            <w:tabs>
              <w:tab w:val="right" w:pos="9071"/>
              <w:tab w:val="clear" w:pos="4153"/>
              <w:tab w:val="clear" w:pos="8306"/>
            </w:tabs>
            <w:snapToGrid/>
            <w:spacing w:line="240" w:lineRule="exact"/>
            <w:jc w:val="right"/>
            <w:rPr>
              <w:rStyle w:val="16"/>
              <w:rFonts w:ascii="Invensys Andale" w:hAnsi="Invensys Andale"/>
            </w:rPr>
          </w:pPr>
          <w:r>
            <w:rPr>
              <w:rFonts w:ascii="Invensys Andale" w:hAnsi="Invensys Andale"/>
              <w:b/>
              <w:color w:val="000080"/>
            </w:rPr>
            <w:fldChar w:fldCharType="begin"/>
          </w:r>
          <w:r>
            <w:rPr>
              <w:rStyle w:val="16"/>
              <w:rFonts w:ascii="Invensys Andale" w:hAnsi="Invensys Andale"/>
              <w:b/>
              <w:color w:val="000080"/>
            </w:rPr>
            <w:instrText xml:space="preserve">PAGE  </w:instrText>
          </w:r>
          <w:r>
            <w:rPr>
              <w:rFonts w:ascii="Invensys Andale" w:hAnsi="Invensys Andale"/>
              <w:b/>
              <w:color w:val="000080"/>
            </w:rPr>
            <w:fldChar w:fldCharType="separate"/>
          </w:r>
          <w:r>
            <w:rPr>
              <w:rStyle w:val="16"/>
              <w:rFonts w:ascii="Invensys Andale" w:hAnsi="Invensys Andale"/>
              <w:b/>
              <w:color w:val="000080"/>
            </w:rPr>
            <w:t>ii</w:t>
          </w:r>
          <w:r>
            <w:rPr>
              <w:rFonts w:ascii="Invensys Andale" w:hAnsi="Invensys Andale"/>
              <w:b/>
              <w:color w:val="000080"/>
            </w:rPr>
            <w:fldChar w:fldCharType="end"/>
          </w: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A8E95"/>
    <w:multiLevelType w:val="singleLevel"/>
    <w:tmpl w:val="89FA8E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pStyle w:val="2"/>
      <w:suff w:val="space"/>
      <w:lvlText w:val="%1."/>
      <w:lvlJc w:val="left"/>
      <w:pPr>
        <w:ind w:left="431" w:hanging="431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431" w:hanging="431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ind w:left="431" w:hanging="431"/>
      </w:pPr>
      <w:rPr>
        <w:rFonts w:hint="eastAsia"/>
      </w:rPr>
    </w:lvl>
    <w:lvl w:ilvl="3" w:tentative="0">
      <w:start w:val="1"/>
      <w:numFmt w:val="decimal"/>
      <w:suff w:val="space"/>
      <w:lvlText w:val="%1.%2.%3.%4."/>
      <w:lvlJc w:val="left"/>
      <w:pPr>
        <w:ind w:left="431" w:hanging="431"/>
      </w:pPr>
      <w:rPr>
        <w:rFonts w:hint="eastAsia"/>
      </w:rPr>
    </w:lvl>
    <w:lvl w:ilvl="4" w:tentative="0">
      <w:start w:val="1"/>
      <w:numFmt w:val="decimal"/>
      <w:suff w:val="space"/>
      <w:lvlText w:val="%1.%2.%3.%4.%5."/>
      <w:lvlJc w:val="left"/>
      <w:pPr>
        <w:ind w:left="431" w:hanging="431"/>
      </w:pPr>
      <w:rPr>
        <w:rFonts w:hint="eastAsia"/>
      </w:rPr>
    </w:lvl>
    <w:lvl w:ilvl="5" w:tentative="0">
      <w:start w:val="1"/>
      <w:numFmt w:val="decimal"/>
      <w:suff w:val="space"/>
      <w:lvlText w:val="%1.%2.%3.%4.%5.%6."/>
      <w:lvlJc w:val="left"/>
      <w:pPr>
        <w:ind w:left="431" w:hanging="431"/>
      </w:pPr>
      <w:rPr>
        <w:rFonts w:hint="eastAsia"/>
      </w:rPr>
    </w:lvl>
    <w:lvl w:ilvl="6" w:tentative="0">
      <w:start w:val="1"/>
      <w:numFmt w:val="decimal"/>
      <w:suff w:val="space"/>
      <w:lvlText w:val="%1.%2.%3.%4.%5.%6.%7."/>
      <w:lvlJc w:val="left"/>
      <w:pPr>
        <w:ind w:left="431" w:hanging="431"/>
      </w:pPr>
      <w:rPr>
        <w:rFonts w:hint="eastAsia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431" w:hanging="431"/>
      </w:pPr>
      <w:rPr>
        <w:rFonts w:hint="eastAsia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431" w:hanging="431"/>
      </w:pPr>
      <w:rPr>
        <w:rFonts w:hint="eastAsia"/>
      </w:rPr>
    </w:lvl>
  </w:abstractNum>
  <w:abstractNum w:abstractNumId="2">
    <w:nsid w:val="16CE1D5E"/>
    <w:multiLevelType w:val="singleLevel"/>
    <w:tmpl w:val="16CE1D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B3904E1"/>
    <w:multiLevelType w:val="singleLevel"/>
    <w:tmpl w:val="6B3904E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072"/>
    <w:rsid w:val="000862E1"/>
    <w:rsid w:val="00172A27"/>
    <w:rsid w:val="004A7F68"/>
    <w:rsid w:val="004F04AE"/>
    <w:rsid w:val="005B59D5"/>
    <w:rsid w:val="006C63E6"/>
    <w:rsid w:val="008012AA"/>
    <w:rsid w:val="008C517C"/>
    <w:rsid w:val="00AE5129"/>
    <w:rsid w:val="00B56541"/>
    <w:rsid w:val="00CC0BAC"/>
    <w:rsid w:val="00DF5978"/>
    <w:rsid w:val="01094398"/>
    <w:rsid w:val="015E435E"/>
    <w:rsid w:val="01C132B6"/>
    <w:rsid w:val="01CF7F7C"/>
    <w:rsid w:val="01F400BF"/>
    <w:rsid w:val="044432FC"/>
    <w:rsid w:val="044D33E7"/>
    <w:rsid w:val="04C82DFE"/>
    <w:rsid w:val="04F649F8"/>
    <w:rsid w:val="06F1709F"/>
    <w:rsid w:val="0825567B"/>
    <w:rsid w:val="092D1C91"/>
    <w:rsid w:val="0A462AEB"/>
    <w:rsid w:val="0A6A22E2"/>
    <w:rsid w:val="0A700776"/>
    <w:rsid w:val="0AA45EC8"/>
    <w:rsid w:val="0AF44058"/>
    <w:rsid w:val="0B2F4255"/>
    <w:rsid w:val="0B8612E2"/>
    <w:rsid w:val="0BE81F05"/>
    <w:rsid w:val="0D2C2681"/>
    <w:rsid w:val="0D3B7E60"/>
    <w:rsid w:val="0D997CBB"/>
    <w:rsid w:val="0D9A2759"/>
    <w:rsid w:val="0DC3579B"/>
    <w:rsid w:val="0E016FB6"/>
    <w:rsid w:val="0E470ECC"/>
    <w:rsid w:val="0E7F4116"/>
    <w:rsid w:val="0EF65265"/>
    <w:rsid w:val="0F6C1A4A"/>
    <w:rsid w:val="107C0F86"/>
    <w:rsid w:val="10A9796F"/>
    <w:rsid w:val="11744BE6"/>
    <w:rsid w:val="117F5B3E"/>
    <w:rsid w:val="1240327A"/>
    <w:rsid w:val="12414E66"/>
    <w:rsid w:val="13002B43"/>
    <w:rsid w:val="13883CFC"/>
    <w:rsid w:val="13B42B7D"/>
    <w:rsid w:val="13E22F57"/>
    <w:rsid w:val="141A520D"/>
    <w:rsid w:val="14225F84"/>
    <w:rsid w:val="14FB2D44"/>
    <w:rsid w:val="15E03693"/>
    <w:rsid w:val="165A3108"/>
    <w:rsid w:val="1680594E"/>
    <w:rsid w:val="169778FD"/>
    <w:rsid w:val="16C20FBF"/>
    <w:rsid w:val="170A20B9"/>
    <w:rsid w:val="17476100"/>
    <w:rsid w:val="17C73D25"/>
    <w:rsid w:val="17D06C94"/>
    <w:rsid w:val="17E633CD"/>
    <w:rsid w:val="194B39D4"/>
    <w:rsid w:val="195139FB"/>
    <w:rsid w:val="19D51978"/>
    <w:rsid w:val="1BB55F14"/>
    <w:rsid w:val="1C9C5BB8"/>
    <w:rsid w:val="1F1C51E9"/>
    <w:rsid w:val="1F574029"/>
    <w:rsid w:val="200B14BC"/>
    <w:rsid w:val="206F1883"/>
    <w:rsid w:val="212332CB"/>
    <w:rsid w:val="21476B90"/>
    <w:rsid w:val="21A775EF"/>
    <w:rsid w:val="21EF226E"/>
    <w:rsid w:val="221E691F"/>
    <w:rsid w:val="227A791D"/>
    <w:rsid w:val="22F8608C"/>
    <w:rsid w:val="23B73CB2"/>
    <w:rsid w:val="23D05015"/>
    <w:rsid w:val="23D83E1C"/>
    <w:rsid w:val="23F9657D"/>
    <w:rsid w:val="24512653"/>
    <w:rsid w:val="24C73920"/>
    <w:rsid w:val="251856C1"/>
    <w:rsid w:val="273B695D"/>
    <w:rsid w:val="275F4D03"/>
    <w:rsid w:val="27D4032A"/>
    <w:rsid w:val="28C93AE1"/>
    <w:rsid w:val="28E8654E"/>
    <w:rsid w:val="29855575"/>
    <w:rsid w:val="29965183"/>
    <w:rsid w:val="29EC2978"/>
    <w:rsid w:val="2A0818C5"/>
    <w:rsid w:val="2A7B7098"/>
    <w:rsid w:val="2ADB3DC2"/>
    <w:rsid w:val="2AFB16BB"/>
    <w:rsid w:val="2B76200D"/>
    <w:rsid w:val="2DB54A4F"/>
    <w:rsid w:val="2E767C9E"/>
    <w:rsid w:val="2EC87538"/>
    <w:rsid w:val="2F6B4C69"/>
    <w:rsid w:val="2FDA70C4"/>
    <w:rsid w:val="308E068C"/>
    <w:rsid w:val="30EB3DCA"/>
    <w:rsid w:val="317E5FA9"/>
    <w:rsid w:val="31FE4D46"/>
    <w:rsid w:val="328D432A"/>
    <w:rsid w:val="338C2805"/>
    <w:rsid w:val="345739D2"/>
    <w:rsid w:val="34F55341"/>
    <w:rsid w:val="352B391E"/>
    <w:rsid w:val="36B02E0D"/>
    <w:rsid w:val="377869C3"/>
    <w:rsid w:val="394F39EF"/>
    <w:rsid w:val="39B81B6B"/>
    <w:rsid w:val="39D03A4A"/>
    <w:rsid w:val="3A0A4EA2"/>
    <w:rsid w:val="3A380E32"/>
    <w:rsid w:val="3A923E12"/>
    <w:rsid w:val="3B1A013C"/>
    <w:rsid w:val="3B912795"/>
    <w:rsid w:val="3BB72B6E"/>
    <w:rsid w:val="3BC07335"/>
    <w:rsid w:val="3BFA7AE4"/>
    <w:rsid w:val="3C74581D"/>
    <w:rsid w:val="3D375092"/>
    <w:rsid w:val="3D665A4E"/>
    <w:rsid w:val="3D903A37"/>
    <w:rsid w:val="3E040E3B"/>
    <w:rsid w:val="3E220A56"/>
    <w:rsid w:val="3E917CCC"/>
    <w:rsid w:val="3F6028E8"/>
    <w:rsid w:val="3FB41F6A"/>
    <w:rsid w:val="4072512A"/>
    <w:rsid w:val="4143214F"/>
    <w:rsid w:val="414842C3"/>
    <w:rsid w:val="4189030C"/>
    <w:rsid w:val="42BC4B2F"/>
    <w:rsid w:val="43584138"/>
    <w:rsid w:val="44623743"/>
    <w:rsid w:val="44B1125C"/>
    <w:rsid w:val="45E02A5C"/>
    <w:rsid w:val="47292C7D"/>
    <w:rsid w:val="49B521D4"/>
    <w:rsid w:val="49DD6FFB"/>
    <w:rsid w:val="4A3266E9"/>
    <w:rsid w:val="4A4E1B10"/>
    <w:rsid w:val="4A9A4256"/>
    <w:rsid w:val="4BB71855"/>
    <w:rsid w:val="4C180A15"/>
    <w:rsid w:val="4C1D3CF4"/>
    <w:rsid w:val="4ECA07B3"/>
    <w:rsid w:val="4F53022B"/>
    <w:rsid w:val="4F6655B5"/>
    <w:rsid w:val="4FF2500E"/>
    <w:rsid w:val="50391590"/>
    <w:rsid w:val="506037ED"/>
    <w:rsid w:val="50616D8C"/>
    <w:rsid w:val="50682A8D"/>
    <w:rsid w:val="5194765E"/>
    <w:rsid w:val="520102FF"/>
    <w:rsid w:val="52324A80"/>
    <w:rsid w:val="52884D97"/>
    <w:rsid w:val="5321488A"/>
    <w:rsid w:val="532526FA"/>
    <w:rsid w:val="53292920"/>
    <w:rsid w:val="532A25C7"/>
    <w:rsid w:val="537E3D65"/>
    <w:rsid w:val="53921B73"/>
    <w:rsid w:val="53A97429"/>
    <w:rsid w:val="54534387"/>
    <w:rsid w:val="54952741"/>
    <w:rsid w:val="557E07D3"/>
    <w:rsid w:val="55D50687"/>
    <w:rsid w:val="56727788"/>
    <w:rsid w:val="577B2D33"/>
    <w:rsid w:val="582B13D7"/>
    <w:rsid w:val="589D569E"/>
    <w:rsid w:val="58CE4601"/>
    <w:rsid w:val="594E6E38"/>
    <w:rsid w:val="59C5063D"/>
    <w:rsid w:val="59C65C3F"/>
    <w:rsid w:val="5A8244FE"/>
    <w:rsid w:val="5ABD29AA"/>
    <w:rsid w:val="5BDC2238"/>
    <w:rsid w:val="5C1437E6"/>
    <w:rsid w:val="5C830CDF"/>
    <w:rsid w:val="5D185183"/>
    <w:rsid w:val="5D2C0849"/>
    <w:rsid w:val="5D53613F"/>
    <w:rsid w:val="5EB70806"/>
    <w:rsid w:val="5EF7501C"/>
    <w:rsid w:val="5FE32A2E"/>
    <w:rsid w:val="61386E4A"/>
    <w:rsid w:val="616070E9"/>
    <w:rsid w:val="619769D7"/>
    <w:rsid w:val="61CF0CB2"/>
    <w:rsid w:val="63E36CED"/>
    <w:rsid w:val="63F23350"/>
    <w:rsid w:val="63FA07F7"/>
    <w:rsid w:val="641322EA"/>
    <w:rsid w:val="64211F54"/>
    <w:rsid w:val="646F3B82"/>
    <w:rsid w:val="6486024C"/>
    <w:rsid w:val="649603AA"/>
    <w:rsid w:val="64DD052C"/>
    <w:rsid w:val="65363A5D"/>
    <w:rsid w:val="65461B52"/>
    <w:rsid w:val="66406CD2"/>
    <w:rsid w:val="66B21595"/>
    <w:rsid w:val="690B3C53"/>
    <w:rsid w:val="69DB42E3"/>
    <w:rsid w:val="6C616BEE"/>
    <w:rsid w:val="6CDA676B"/>
    <w:rsid w:val="6D0578AD"/>
    <w:rsid w:val="6D40731E"/>
    <w:rsid w:val="6D953BB3"/>
    <w:rsid w:val="6E171533"/>
    <w:rsid w:val="6E8A1024"/>
    <w:rsid w:val="70066DED"/>
    <w:rsid w:val="70243DF5"/>
    <w:rsid w:val="702860D6"/>
    <w:rsid w:val="705E2D1A"/>
    <w:rsid w:val="70AE25F4"/>
    <w:rsid w:val="70B23C90"/>
    <w:rsid w:val="711A0913"/>
    <w:rsid w:val="713D0A0F"/>
    <w:rsid w:val="71FA0C64"/>
    <w:rsid w:val="72561EE8"/>
    <w:rsid w:val="7329672D"/>
    <w:rsid w:val="733A522F"/>
    <w:rsid w:val="733F03D6"/>
    <w:rsid w:val="73423FF2"/>
    <w:rsid w:val="73B37AFF"/>
    <w:rsid w:val="73DC1B53"/>
    <w:rsid w:val="73FA22D7"/>
    <w:rsid w:val="741D1E45"/>
    <w:rsid w:val="742E454C"/>
    <w:rsid w:val="7436014B"/>
    <w:rsid w:val="744B5BBD"/>
    <w:rsid w:val="74627AE0"/>
    <w:rsid w:val="75497D41"/>
    <w:rsid w:val="758C37A8"/>
    <w:rsid w:val="76207609"/>
    <w:rsid w:val="779A7EF8"/>
    <w:rsid w:val="7927477B"/>
    <w:rsid w:val="795D0DC5"/>
    <w:rsid w:val="7996448A"/>
    <w:rsid w:val="7A107B2F"/>
    <w:rsid w:val="7A7C6A58"/>
    <w:rsid w:val="7AF06FBD"/>
    <w:rsid w:val="7BDB5584"/>
    <w:rsid w:val="7C2A5CD0"/>
    <w:rsid w:val="7CB43737"/>
    <w:rsid w:val="7D190DA9"/>
    <w:rsid w:val="7D253F88"/>
    <w:rsid w:val="7DBF2D36"/>
    <w:rsid w:val="7E136256"/>
    <w:rsid w:val="7EB605BE"/>
    <w:rsid w:val="7F6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Cambria" w:hAnsi="Cambria" w:eastAsia="黑体"/>
      <w:b/>
      <w:bCs/>
      <w:sz w:val="28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eastAsia="黑体"/>
      <w:b/>
      <w:bCs/>
      <w:sz w:val="24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39"/>
    <w:pPr>
      <w:ind w:left="840" w:leftChars="4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toc 2"/>
    <w:basedOn w:val="1"/>
    <w:next w:val="1"/>
    <w:qFormat/>
    <w:uiPriority w:val="39"/>
    <w:pPr>
      <w:ind w:left="420" w:leftChars="200"/>
    </w:p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3">
    <w:name w:val="Table Grid"/>
    <w:basedOn w:val="12"/>
    <w:qFormat/>
    <w:uiPriority w:val="0"/>
    <w:pPr>
      <w:spacing w:before="240" w:line="240" w:lineRule="atLeast"/>
    </w:pPr>
    <w:rPr>
      <w:rFonts w:ascii="Times" w:hAnsi="Tim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副标题1"/>
    <w:basedOn w:val="11"/>
    <w:qFormat/>
    <w:uiPriority w:val="0"/>
    <w:pPr>
      <w:spacing w:before="1000" w:after="1000"/>
      <w:jc w:val="left"/>
    </w:pPr>
    <w:rPr>
      <w:rFonts w:ascii="Invensys Andale" w:hAnsi="Invensys Andale"/>
      <w:lang w:val="en-AU" w:eastAsia="en-AU"/>
    </w:rPr>
  </w:style>
  <w:style w:type="paragraph" w:customStyle="1" w:styleId="18">
    <w:name w:val="FrontPageVersion"/>
    <w:basedOn w:val="1"/>
    <w:qFormat/>
    <w:uiPriority w:val="0"/>
    <w:pPr>
      <w:widowControl/>
      <w:tabs>
        <w:tab w:val="left" w:pos="1134"/>
      </w:tabs>
      <w:spacing w:line="280" w:lineRule="atLeast"/>
      <w:jc w:val="left"/>
    </w:pPr>
    <w:rPr>
      <w:rFonts w:ascii="Invensys Andale" w:hAnsi="Invensys Andale"/>
      <w:kern w:val="0"/>
      <w:sz w:val="20"/>
      <w:szCs w:val="21"/>
      <w:lang w:val="en-AU" w:eastAsia="en-US"/>
    </w:rPr>
  </w:style>
  <w:style w:type="paragraph" w:customStyle="1" w:styleId="19">
    <w:name w:val="提交年月"/>
    <w:basedOn w:val="1"/>
    <w:next w:val="1"/>
    <w:qFormat/>
    <w:uiPriority w:val="0"/>
    <w:pPr>
      <w:jc w:val="center"/>
    </w:pPr>
    <w:rPr>
      <w:rFonts w:ascii="黑体" w:hAnsi="宋体" w:eastAsia="黑体"/>
      <w:sz w:val="32"/>
      <w:szCs w:val="32"/>
    </w:rPr>
  </w:style>
  <w:style w:type="paragraph" w:customStyle="1" w:styleId="20">
    <w:name w:val="1.5行距正文"/>
    <w:basedOn w:val="1"/>
    <w:qFormat/>
    <w:uiPriority w:val="0"/>
    <w:pPr>
      <w:spacing w:line="360" w:lineRule="auto"/>
      <w:ind w:firstLine="200" w:firstLineChars="200"/>
    </w:pPr>
  </w:style>
  <w:style w:type="character" w:customStyle="1" w:styleId="21">
    <w:name w:val="sc91"/>
    <w:basedOn w:val="14"/>
    <w:qFormat/>
    <w:uiPriority w:val="0"/>
    <w:rPr>
      <w:color w:val="804000"/>
    </w:rPr>
  </w:style>
  <w:style w:type="character" w:customStyle="1" w:styleId="22">
    <w:name w:val="sc161"/>
    <w:basedOn w:val="14"/>
    <w:qFormat/>
    <w:uiPriority w:val="0"/>
    <w:rPr>
      <w:color w:val="8000FF"/>
    </w:rPr>
  </w:style>
  <w:style w:type="character" w:customStyle="1" w:styleId="23">
    <w:name w:val="sc101"/>
    <w:basedOn w:val="14"/>
    <w:qFormat/>
    <w:uiPriority w:val="0"/>
    <w:rPr>
      <w:b/>
      <w:color w:val="000080"/>
    </w:rPr>
  </w:style>
  <w:style w:type="character" w:customStyle="1" w:styleId="24">
    <w:name w:val="sc41"/>
    <w:basedOn w:val="14"/>
    <w:qFormat/>
    <w:uiPriority w:val="0"/>
    <w:rPr>
      <w:color w:val="FF8000"/>
    </w:rPr>
  </w:style>
  <w:style w:type="character" w:customStyle="1" w:styleId="25">
    <w:name w:val="sc51"/>
    <w:basedOn w:val="14"/>
    <w:qFormat/>
    <w:uiPriority w:val="0"/>
    <w:rPr>
      <w:b/>
      <w:color w:val="0000FF"/>
    </w:rPr>
  </w:style>
  <w:style w:type="paragraph" w:customStyle="1" w:styleId="26">
    <w:name w:val="正文样式"/>
    <w:link w:val="27"/>
    <w:qFormat/>
    <w:uiPriority w:val="0"/>
    <w:pPr>
      <w:widowControl w:val="0"/>
      <w:spacing w:line="360" w:lineRule="auto"/>
      <w:ind w:firstLine="482"/>
      <w:jc w:val="both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customStyle="1" w:styleId="27">
    <w:name w:val="正文样式 Char"/>
    <w:link w:val="26"/>
    <w:qFormat/>
    <w:uiPriority w:val="0"/>
    <w:rPr>
      <w:rFonts w:ascii="宋体"/>
      <w:kern w:val="2"/>
      <w:sz w:val="24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934</Words>
  <Characters>5326</Characters>
  <Lines>44</Lines>
  <Paragraphs>12</Paragraphs>
  <TotalTime>3</TotalTime>
  <ScaleCrop>false</ScaleCrop>
  <LinksUpToDate>false</LinksUpToDate>
  <CharactersWithSpaces>6248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2019-07-15T05:31:00Z</dcterms:created>
  <dc:creator>爱上下雨天</dc:creator>
  <cp:lastModifiedBy>Administrator</cp:lastModifiedBy>
  <dcterms:modified xsi:type="dcterms:W3CDTF">2020-08-06T10:07:15Z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